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30"/>
          <w:szCs w:val="30"/>
        </w:rPr>
        <w:t>1)</w:t>
      </w:r>
      <w:r>
        <w:rPr>
          <w:rFonts w:ascii="Times New Roman" w:hAnsi="Times New Roman"/>
          <w:color w:val="333333"/>
          <w:sz w:val="24"/>
          <w:szCs w:val="24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аимствованные слова (часто географические названия) с «зиянием» (стечением гласных),служебные слова (союзы), междометия.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>
      <w:pPr>
        <w:pStyle w:val="style1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style19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Посетить Мака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[мака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], Токи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, Монтевиде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, кака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, б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а, Г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а. Все эти слова иностранного происхождения, кроме того, в них рядом с [o] есть еще гласный звук, то есть присутствует стечение гласных (зияние).</w:t>
      </w:r>
    </w:p>
    <w:p>
      <w:pPr>
        <w:pStyle w:val="style19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Он скучает по дому, н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дома не появляется; т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ветер, т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вьюга; не т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снег, не т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дождь. В союзах.</w:t>
      </w:r>
    </w:p>
    <w:p>
      <w:pPr>
        <w:pStyle w:val="style19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-х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-хо! 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-г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-го! 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го, 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й-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й-ой. В междометиях.</w:t>
      </w:r>
    </w:p>
    <w:p>
      <w:pPr>
        <w:pStyle w:val="style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30"/>
          <w:szCs w:val="30"/>
        </w:rPr>
        <w:t>2)</w:t>
      </w:r>
      <w:r>
        <w:rPr>
          <w:rFonts w:ascii="Times New Roman" w:hAnsi="Times New Roman"/>
          <w:color w:val="333333"/>
          <w:sz w:val="24"/>
          <w:szCs w:val="24"/>
        </w:rPr>
        <w:t>Мзда-</w:t>
      </w:r>
      <w:r>
        <w:rPr>
          <w:rFonts w:ascii="Times New Roman" w:cs="Times New Roman" w:hAnsi="Times New Roman"/>
          <w:color w:val="333333"/>
          <w:sz w:val="24"/>
          <w:szCs w:val="24"/>
        </w:rPr>
        <w:t>«награда, плата»</w:t>
      </w:r>
    </w:p>
    <w:p>
      <w:pPr>
        <w:pStyle w:val="style0"/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cs="Times New Roman" w:hAnsi="Times New Roman"/>
          <w:color w:val="333333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333333"/>
          <w:sz w:val="24"/>
          <w:szCs w:val="24"/>
        </w:rPr>
        <w:t>М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здоимец- продажный человек</w:t>
      </w:r>
    </w:p>
    <w:p>
      <w:pPr>
        <w:pStyle w:val="style0"/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М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ьсть-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родственное слово</w:t>
      </w:r>
    </w:p>
    <w:p>
      <w:pPr>
        <w:pStyle w:val="style0"/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Месть-производное</w:t>
      </w:r>
    </w:p>
    <w:p>
      <w:pPr>
        <w:pStyle w:val="style0"/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>4</w:t>
      </w: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>)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1)После того как Вася ответил на вопрос, все замолчали.(придаточное обстоятельственное). После ответа Васи на вопрос все замолчали.(дополнение) </w:t>
        <w:br/>
        <w:t xml:space="preserve">   2)Я попросил их, чтобы они помогли мне.(придаточное изъяснительное).Я попросил их о помощи.(дополнение </w:t>
        <w:br/>
        <w:t>3)Митинг не состоялся, потому что похолодало.(придаточное обстоятельственное).Митинг не состоялся из-за похолодания(обстоятельство) </w:t>
        <w:br/>
        <w:t xml:space="preserve">   4)Я рад, что мы познакомились.(придаточное изъяснительное).Я рад знакомству.(дополнение) </w:t>
        <w:br/>
        <w:t xml:space="preserve">   5)Эти документы нужны, чтобы получить паспорт нового образца.(придаточное обстоятельственное).Эти документы нужны для получения паспорта нового образца.(обстоятельство)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</w:p>
    <w:p>
      <w:pPr>
        <w:pStyle w:val="style0"/>
        <w:ind w:hanging="0" w:left="0" w:right="0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8)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4"/>
        <w:gridCol w:w="4819"/>
        <w:gridCol w:w="2547"/>
      </w:tblGrid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Пример</w:t>
            </w:r>
          </w:p>
        </w:tc>
      </w:tr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ascii="Arial;Helvetica;sans-serif" w:cs="Times New Roman" w:hAnsi="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4"/>
              </w:rPr>
              <w:t>Эвфемизм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Парадокс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Можно встретить старика лет двадцати — и юношу в пятьдесят (А.И. Герцен)</w:t>
            </w:r>
          </w:p>
        </w:tc>
      </w:tr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Градация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Метонимия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Ишь</w:t>
            </w:r>
            <w:r>
              <w:rPr>
                <w:rFonts w:cs="Times New Roman"/>
                <w:i/>
                <w:sz w:val="24"/>
                <w:szCs w:val="24"/>
              </w:rPr>
              <w:t>, </w:t>
            </w:r>
            <w:r>
              <w:rPr>
                <w:rFonts w:cs="Times New Roman"/>
                <w:bCs/>
                <w:i/>
                <w:sz w:val="24"/>
                <w:szCs w:val="24"/>
              </w:rPr>
              <w:t>пора</w:t>
            </w:r>
            <w:r>
              <w:rPr>
                <w:rFonts w:cs="Times New Roman"/>
                <w:i/>
                <w:sz w:val="24"/>
                <w:szCs w:val="24"/>
              </w:rPr>
              <w:t>-то </w:t>
            </w:r>
            <w:r>
              <w:rPr>
                <w:rFonts w:cs="Times New Roman"/>
                <w:bCs/>
                <w:i/>
                <w:sz w:val="24"/>
                <w:szCs w:val="24"/>
              </w:rPr>
              <w:t>сенокосная</w:t>
            </w:r>
            <w:r>
              <w:rPr>
                <w:rFonts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>
        <w:trPr>
          <w:cantSplit w:val="false"/>
        </w:trPr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Каламбур</w:t>
            </w:r>
          </w:p>
        </w:tc>
        <w:tc>
          <w:tcPr>
            <w:tcW w:type="dxa" w:w="48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</w:tbl>
    <w:p>
      <w:pPr>
        <w:pStyle w:val="style0"/>
        <w:spacing w:after="160" w:before="0"/>
        <w:ind w:hanging="0" w:left="0" w:right="0"/>
        <w:contextualSpacing/>
        <w:jc w:val="both"/>
        <w:rPr>
          <w:rFonts w:ascii="Times New Roman" w:hAnsi="Times New Roman"/>
          <w:b/>
          <w:bCs/>
          <w:color w:val="333333"/>
          <w:sz w:val="30"/>
          <w:szCs w:val="30"/>
        </w:rPr>
      </w:pPr>
      <w:r>
        <w:rPr>
          <w:rFonts w:ascii="Times New Roman" w:hAnsi="Times New Roman"/>
          <w:b/>
          <w:bCs/>
          <w:color w:val="333333"/>
          <w:sz w:val="30"/>
          <w:szCs w:val="30"/>
        </w:rPr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333333"/>
          <w:spacing w:val="0"/>
          <w:sz w:val="30"/>
          <w:szCs w:val="30"/>
        </w:rPr>
        <w:t>3)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Перед судом собственной совести, перед лицом собственного бога – он, это чудо, этот изверг добродетели, возводил очи горе и твердым и ясным голосом произносил: «Да, я достойный, я нравственный человек!» (И.С. Тургенев).</w:t>
      </w:r>
      <w:r>
        <w:rPr>
          <w:rFonts w:ascii="Times New Roman" w:cs="Times New Roman" w:hAnsi="Times New Roman"/>
          <w:i w:val="false"/>
          <w:caps w:val="false"/>
          <w:smallCaps w:val="false"/>
          <w:spacing w:val="0"/>
          <w:sz w:val="24"/>
          <w:szCs w:val="24"/>
        </w:rPr>
        <w:br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Возводи́л о́чи горе́ - означает «поднять глаза вверх». 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Во время оно жил да был в Москве боярин Михаил, Прозваньем Орша. (М.Ю. Лермонтов). </w:t>
      </w:r>
      <w:r>
        <w:rPr>
          <w:rFonts w:ascii="Times New Roman" w:cs="Times New Roman" w:hAnsi="Times New Roman"/>
          <w:i w:val="false"/>
          <w:caps w:val="false"/>
          <w:smallCaps w:val="false"/>
          <w:spacing w:val="0"/>
          <w:sz w:val="24"/>
          <w:szCs w:val="24"/>
        </w:rPr>
        <w:br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 вре́мя о́но – означает «когда-то очень давно». Старославянское по происхождению выражение (оно - устаревшее указательное местоимение, означающее "тот"). 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3) Слушай, брат Андрей Гаврилович: коли в твоем Володьке будет путь, так отдам за него Машу; даром что он гол как сокол (А.С. Пушкин). </w:t>
      </w:r>
      <w:r>
        <w:rPr>
          <w:rFonts w:ascii="Times New Roman" w:cs="Times New Roman" w:hAnsi="Times New Roman"/>
          <w:i w:val="false"/>
          <w:caps w:val="false"/>
          <w:smallCaps w:val="false"/>
          <w:spacing w:val="0"/>
          <w:sz w:val="24"/>
          <w:szCs w:val="24"/>
        </w:rPr>
        <w:br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Гол как соко́л – означает «страшно беден, ничего не имеет». Происхождение: имеется в виду не пернатый, а совершенно другой сокол. Так называлось старинное орудие, при помощи которого русские армии брали города, разрушая стены и ворота. Сокол выглядел как большое тяжелое бревно, обитое железом или брус, сделанный из чугуна. Его вешали на прочных цепях и раскачивали, ударяя о преграду. 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 Они утверждают, что все наше государство – это колосс на глиняных ногах и что мы уже рушимся (В.И. Ардаматский). </w:t>
      </w:r>
      <w:r>
        <w:rPr>
          <w:rFonts w:ascii="Times New Roman" w:cs="Times New Roman" w:hAnsi="Times New Roman"/>
          <w:i w:val="false"/>
          <w:caps w:val="false"/>
          <w:smallCaps w:val="false"/>
          <w:spacing w:val="0"/>
          <w:sz w:val="24"/>
          <w:szCs w:val="24"/>
        </w:rPr>
        <w:br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Коло́сс на гли́няных нога́х – означает «что-либо величественное, могущественное с виду, но слабое, легко разрушающееся по существу». Выражение близко к библейскому рассказу о вавилонском царе Навуходоносоре, которому приснился зловещий сон. Он увидел огромного истукана, у которого голова была из золота, грудь и руки из серебра, живот и бедра - из меди, колени - из железа, а ноги - из глины. Камень, упавший с горы, ударил колосса по глиняным ногам, и тот обратился в прах. Царь собрал жрецов и прорицателей, и один из них истолковал этот сон как роковое предзнаменование грядущего разрушения и гибели Вавилонского царства под ударами персов.</w:t>
      </w:r>
    </w:p>
    <w:p>
      <w:pPr>
        <w:pStyle w:val="style0"/>
        <w:spacing w:after="160" w:before="0"/>
        <w:ind w:hanging="0" w:left="0" w:right="0"/>
        <w:contextualSpacing/>
        <w:jc w:val="left"/>
        <w:rPr/>
      </w:pPr>
      <w:r>
        <w:rPr/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spacing w:val="0"/>
          <w:sz w:val="30"/>
          <w:szCs w:val="30"/>
        </w:rPr>
        <w:t>5)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1)Раздельно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    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2)С заглавной,потому что «Катиным» имя собственное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    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3)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«бабы» выступает как часть слова - имени прилагательного, так как отвечает на вопрос «в каком».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 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    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4)определение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spacing w:val="0"/>
          <w:sz w:val="30"/>
          <w:szCs w:val="30"/>
        </w:rPr>
        <w:t>7)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Раскольник-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человек, совершивший тяжкое преступление. 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Дон Кихот-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как символ бескорыстной борьбы за справедливость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.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Эйнштейн- умный человек.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Обломов-ленивый,равнодушный человек.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cs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Кабаниха-богая купчиха,вдова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style0"/>
        <w:spacing w:after="160" w:before="0"/>
        <w:ind w:hanging="0" w:left="0" w:right="0"/>
        <w:contextualSpacing/>
        <w:jc w:val="left"/>
        <w:rPr>
          <w:rFonts w:ascii="Times New Roman" w:hAnsi="Times New Roman"/>
          <w:b/>
          <w:bCs/>
          <w:i w:val="false"/>
          <w:iCs w:val="false"/>
          <w:sz w:val="30"/>
          <w:szCs w:val="30"/>
        </w:rPr>
      </w:pPr>
      <w:r>
        <w:rPr>
          <w:rFonts w:ascii="Times New Roman" w:hAnsi="Times New Roman"/>
          <w:b/>
          <w:bCs/>
          <w:i w:val="false"/>
          <w:iCs w:val="false"/>
          <w:sz w:val="30"/>
          <w:szCs w:val="30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Маркеры списка"/>
    <w:next w:val="style15"/>
    <w:rPr>
      <w:rFonts w:ascii="OpenSymbol" w:cs="OpenSymbol" w:eastAsia="OpenSymbol" w:hAnsi="OpenSymbol"/>
    </w:rPr>
  </w:style>
  <w:style w:styleId="style16" w:type="character">
    <w:name w:val="Выделение жирным"/>
    <w:next w:val="style16"/>
    <w:rPr>
      <w:b/>
      <w:bCs/>
    </w:rPr>
  </w:style>
  <w:style w:styleId="style17" w:type="character">
    <w:name w:val="ListLabel 1"/>
    <w:next w:val="style17"/>
    <w:rPr>
      <w:i w:val="false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Содержимое таблицы"/>
    <w:basedOn w:val="style0"/>
    <w:next w:val="style23"/>
    <w:pPr>
      <w:suppressLineNumbers/>
    </w:pPr>
    <w:rPr/>
  </w:style>
  <w:style w:styleId="style24" w:type="paragraph">
    <w:name w:val="Заголовок таблицы"/>
    <w:basedOn w:val="style23"/>
    <w:next w:val="style2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2017-12-10T15:31:44Z</dcterms:created>
  <cp:revision>0</cp:revision>
</cp:coreProperties>
</file>