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79"/>
        <w:ind w:left="567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ЗАДАНИЯ АКМУЛЛИНСКОЙ ОЛИМПИАДЫ ПО РУССКОМУ ЯЗЫКУ</w:t>
      </w:r>
    </w:p>
    <w:p>
      <w:pPr>
        <w:pStyle w:val="style179"/>
        <w:ind w:left="567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cs="Times New Roman" w:hAnsi="Times New Roman"/>
          <w:bCs/>
          <w:sz w:val="24"/>
          <w:szCs w:val="24"/>
        </w:rPr>
        <w:t>8</w:t>
      </w:r>
      <w:r>
        <w:rPr>
          <w:rFonts w:ascii="Times New Roman" w:cs="Times New Roman" w:hAnsi="Times New Roman"/>
          <w:bCs/>
          <w:sz w:val="24"/>
          <w:szCs w:val="24"/>
        </w:rPr>
        <w:t xml:space="preserve"> КЛАССОВ</w:t>
      </w:r>
    </w:p>
    <w:p>
      <w:pPr>
        <w:pStyle w:val="style179"/>
        <w:spacing w:after="0" w:lineRule="auto" w:line="240"/>
        <w:ind w:left="567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(2 тур)</w:t>
      </w:r>
      <w:r>
        <w:rPr>
          <w:rFonts w:ascii="Times New Roman" w:cs="Times New Roman" w:hAnsi="Times New Roman"/>
          <w:bCs/>
          <w:sz w:val="24"/>
          <w:szCs w:val="24"/>
        </w:rPr>
        <w:br/>
      </w:r>
    </w:p>
    <w:p>
      <w:pPr>
        <w:pStyle w:val="style179"/>
        <w:numPr>
          <w:ilvl w:val="0"/>
          <w:numId w:val="1"/>
        </w:numPr>
        <w:spacing w:after="0" w:lineRule="auto" w:line="240"/>
        <w:ind w:left="426" w:hanging="42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Какофо́ния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(др.-греч. κακός – «плохой» + φωνή – «звук») </w:t>
      </w:r>
      <w:r>
        <w:rPr>
          <w:rFonts w:ascii="Times New Roman" w:cs="Times New Roman" w:hAnsi="Times New Roman"/>
          <w:bCs/>
          <w:sz w:val="24"/>
          <w:szCs w:val="24"/>
        </w:rPr>
        <w:t xml:space="preserve">- </w:t>
      </w:r>
      <w:r>
        <w:rPr>
          <w:rFonts w:ascii="Times New Roman" w:cs="Times New Roman" w:hAnsi="Times New Roman"/>
          <w:bCs/>
          <w:sz w:val="24"/>
          <w:szCs w:val="24"/>
        </w:rPr>
        <w:t>р</w:t>
      </w:r>
      <w:r>
        <w:rPr>
          <w:rFonts w:ascii="Times New Roman" w:cs="Times New Roman" w:hAnsi="Times New Roman"/>
          <w:bCs/>
          <w:sz w:val="24"/>
          <w:szCs w:val="24"/>
        </w:rPr>
        <w:t>ежущее слух сочетание звуков, неблагозвучие (в музыке, в стихах).</w:t>
      </w:r>
    </w:p>
    <w:p>
      <w:pPr>
        <w:pStyle w:val="style179"/>
        <w:numPr>
          <w:ilvl w:val="0"/>
          <w:numId w:val="0"/>
        </w:numPr>
        <w:spacing w:after="0" w:lineRule="auto" w:line="240"/>
        <w:ind w:left="426" w:firstLine="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Омофо́н</w:t>
      </w:r>
      <w:r>
        <w:rPr>
          <w:rFonts w:ascii="Times New Roman" w:cs="Times New Roman" w:hAnsi="Times New Roman"/>
          <w:bCs/>
          <w:sz w:val="24"/>
          <w:szCs w:val="24"/>
        </w:rPr>
        <w:t>ия</w:t>
      </w:r>
      <w:r>
        <w:rPr>
          <w:rFonts w:ascii="Times New Roman" w:cs="Times New Roman" w:hAnsi="Times New Roman"/>
          <w:bCs/>
          <w:sz w:val="24"/>
          <w:szCs w:val="24"/>
        </w:rPr>
        <w:t> (греч. ὁμός «одинаковый»</w:t>
      </w:r>
      <w:r>
        <w:rPr>
          <w:rFonts w:ascii="Times New Roman" w:cs="Times New Roman" w:hAnsi="Times New Roman"/>
          <w:bCs/>
          <w:sz w:val="24"/>
          <w:szCs w:val="24"/>
        </w:rPr>
        <w:t>+ φωνή «звук»)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-</w:t>
      </w:r>
      <w:r>
        <w:rPr>
          <w:rFonts w:ascii="Times New Roman" w:cs="Times New Roman" w:hAnsi="Times New Roman"/>
          <w:bCs/>
          <w:sz w:val="24"/>
          <w:szCs w:val="24"/>
        </w:rPr>
        <w:t> фонетическая двусмысленность, фонетические омонимы.</w:t>
      </w:r>
    </w:p>
    <w:p>
      <w:pPr>
        <w:pStyle w:val="style179"/>
        <w:numPr>
          <w:ilvl w:val="0"/>
          <w:numId w:val="0"/>
        </w:numPr>
        <w:spacing w:after="0" w:lineRule="auto" w:line="240"/>
        <w:ind w:left="426" w:firstLine="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Полифо́ни́я</w:t>
      </w:r>
      <w:r>
        <w:rPr>
          <w:rFonts w:ascii="Times New Roman" w:cs="Times New Roman" w:hAnsi="Times New Roman"/>
          <w:bCs/>
          <w:sz w:val="24"/>
          <w:szCs w:val="24"/>
        </w:rPr>
        <w:t> (лат. polyphonia, от др.-греч. πολυφωνία — буквально: «многозвучие» от др.-греч. πολυ-, πολύς — «много» +др.-греч. φωνή — «звук») </w:t>
      </w:r>
      <w:r>
        <w:rPr>
          <w:rFonts w:ascii="Times New Roman" w:cs="Times New Roman" w:hAnsi="Times New Roman"/>
          <w:bCs/>
          <w:sz w:val="24"/>
          <w:szCs w:val="24"/>
        </w:rPr>
        <w:t>-</w:t>
      </w:r>
      <w:r>
        <w:rPr>
          <w:rFonts w:ascii="Times New Roman" w:cs="Times New Roman" w:hAnsi="Times New Roman"/>
          <w:bCs/>
          <w:sz w:val="24"/>
          <w:szCs w:val="24"/>
        </w:rPr>
        <w:t xml:space="preserve"> в</w:t>
      </w:r>
      <w:r>
        <w:rPr>
          <w:rFonts w:ascii="Times New Roman" w:cs="Times New Roman" w:hAnsi="Times New Roman"/>
          <w:bCs/>
          <w:sz w:val="24"/>
          <w:szCs w:val="24"/>
        </w:rPr>
        <w:t>ид многоголосия, основанный на одновременном гармоническом сочетании и развитии ряда гармонических мелодий. </w:t>
      </w:r>
    </w:p>
    <w:p>
      <w:pPr>
        <w:pStyle w:val="style179"/>
        <w:numPr>
          <w:ilvl w:val="0"/>
          <w:numId w:val="0"/>
        </w:numPr>
        <w:spacing w:after="0" w:lineRule="auto" w:line="240"/>
        <w:ind w:left="426" w:firstLine="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Э</w:t>
      </w:r>
      <w:r>
        <w:rPr>
          <w:rFonts w:ascii="Times New Roman" w:cs="Times New Roman" w:hAnsi="Times New Roman"/>
          <w:bCs/>
          <w:sz w:val="24"/>
          <w:szCs w:val="24"/>
        </w:rPr>
        <w:t>вфони́я</w:t>
      </w:r>
      <w:r>
        <w:rPr>
          <w:rFonts w:ascii="Times New Roman" w:cs="Times New Roman" w:hAnsi="Times New Roman"/>
          <w:bCs/>
          <w:sz w:val="24"/>
          <w:szCs w:val="24"/>
        </w:rPr>
        <w:t xml:space="preserve">  (греч. εὐφωνόα) </w:t>
      </w:r>
      <w:r>
        <w:rPr>
          <w:rFonts w:ascii="Times New Roman" w:cs="Times New Roman" w:hAnsi="Times New Roman"/>
          <w:bCs/>
          <w:sz w:val="24"/>
          <w:szCs w:val="24"/>
        </w:rPr>
        <w:t>- Благозвучие слов, удачный подбор звуков, гармоническая последовательность гласных и согласных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0"/>
        <w:numPr>
          <w:ilvl w:val="0"/>
          <w:numId w:val="0"/>
        </w:numPr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Название пунктуационного знака </w:t>
      </w:r>
      <w:r>
        <w:rPr>
          <w:rFonts w:ascii="Times New Roman" w:cs="Times New Roman" w:hAnsi="Times New Roman"/>
          <w:sz w:val="24"/>
          <w:szCs w:val="24"/>
          <w:u w:val="single" w:color="auto"/>
        </w:rPr>
        <w:t>запятая</w:t>
      </w:r>
      <w:r>
        <w:rPr>
          <w:rFonts w:ascii="Times New Roman" w:cs="Times New Roman" w:hAnsi="Times New Roman"/>
          <w:sz w:val="24"/>
          <w:szCs w:val="24"/>
        </w:rPr>
        <w:t xml:space="preserve"> восходит к глаголу </w:t>
      </w:r>
      <w:r>
        <w:rPr>
          <w:rFonts w:ascii="Times New Roman" w:cs="Times New Roman" w:hAnsi="Times New Roman"/>
          <w:i/>
          <w:iCs/>
          <w:sz w:val="24"/>
          <w:szCs w:val="24"/>
        </w:rPr>
        <w:t>П</w:t>
      </w:r>
      <w:r>
        <w:rPr>
          <w:rFonts w:ascii="Times New Roman" w:cs="Times New Roman" w:hAnsi="Times New Roman"/>
          <w:i/>
          <w:iCs/>
          <w:sz w:val="24"/>
          <w:szCs w:val="24"/>
        </w:rPr>
        <w:t>Ѧ</w:t>
      </w:r>
      <w:r>
        <w:rPr>
          <w:rFonts w:ascii="Times New Roman" w:cs="Times New Roman" w:hAnsi="Times New Roman"/>
          <w:i/>
          <w:iCs/>
          <w:sz w:val="24"/>
          <w:szCs w:val="24"/>
        </w:rPr>
        <w:t>T</w:t>
      </w:r>
      <w:r>
        <w:rPr>
          <w:rFonts w:ascii="Times New Roman" w:cs="Times New Roman" w:hAnsi="Times New Roman"/>
          <w:i/>
          <w:iCs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ПЯТИ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sz w:val="24"/>
          <w:szCs w:val="24"/>
        </w:rPr>
        <w:t>– задерживать, то есть это знак, который при чтении задерживает речь. Этимологически родственным ему является и общий термин для всех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 w:color="auto"/>
        </w:rPr>
        <w:t>знаков препинания</w:t>
      </w:r>
      <w:r>
        <w:rPr>
          <w:rFonts w:ascii="Times New Roman" w:cs="Times New Roman" w:hAnsi="Times New Roman"/>
          <w:sz w:val="24"/>
          <w:szCs w:val="24"/>
        </w:rPr>
        <w:t>, ведь они все служат для обозначения остановки в речи. Если человек спотыкается, останавливается в своем движении, мы говорим, что он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 w:color="auto"/>
        </w:rPr>
        <w:t>запнулся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То, что мешает в движении вперед, мы называем словами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 w:color="auto"/>
        </w:rPr>
        <w:t>препятствие</w:t>
      </w:r>
      <w:r>
        <w:rPr>
          <w:rFonts w:ascii="Times New Roman" w:cs="Times New Roman" w:hAnsi="Times New Roman"/>
          <w:sz w:val="24"/>
          <w:szCs w:val="24"/>
        </w:rPr>
        <w:t xml:space="preserve"> или </w:t>
      </w:r>
      <w:r>
        <w:rPr>
          <w:rFonts w:ascii="Times New Roman" w:cs="Times New Roman" w:hAnsi="Times New Roman"/>
          <w:sz w:val="24"/>
          <w:szCs w:val="24"/>
          <w:u w:val="single" w:color="auto"/>
        </w:rPr>
        <w:t>препона</w:t>
      </w:r>
      <w:r>
        <w:rPr>
          <w:rFonts w:ascii="Times New Roman" w:cs="Times New Roman" w:hAnsi="Times New Roman"/>
          <w:sz w:val="24"/>
          <w:szCs w:val="24"/>
        </w:rPr>
        <w:t xml:space="preserve">, они тоже восходят к глаголу </w:t>
      </w:r>
      <w:r>
        <w:rPr>
          <w:rFonts w:ascii="Times New Roman" w:cs="Times New Roman" w:hAnsi="Times New Roman"/>
          <w:i/>
          <w:iCs/>
          <w:sz w:val="24"/>
          <w:szCs w:val="24"/>
        </w:rPr>
        <w:t>П</w:t>
      </w:r>
      <w:r>
        <w:rPr>
          <w:rFonts w:ascii="Times New Roman" w:cs="Times New Roman" w:hAnsi="Times New Roman"/>
          <w:i/>
          <w:iCs/>
          <w:sz w:val="24"/>
          <w:szCs w:val="24"/>
        </w:rPr>
        <w:t>ѦT</w:t>
      </w:r>
      <w:r>
        <w:rPr>
          <w:rFonts w:ascii="Times New Roman" w:cs="Times New Roman" w:hAnsi="Times New Roman"/>
          <w:i/>
          <w:iCs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>
        <w:rPr>
          <w:rFonts w:ascii="Times New Roman" w:cs="Times New Roman" w:hAnsi="Times New Roman"/>
          <w:sz w:val="24"/>
          <w:szCs w:val="24"/>
          <w:u w:val="single" w:color="auto"/>
        </w:rPr>
        <w:t xml:space="preserve">запонка, </w:t>
      </w:r>
      <w:r>
        <w:rPr>
          <w:rFonts w:ascii="Times New Roman" w:cs="Times New Roman" w:hAnsi="Times New Roman"/>
          <w:sz w:val="24"/>
          <w:szCs w:val="24"/>
        </w:rPr>
        <w:t>то есть это то, что удерживает рукав, не дает ему двигаться.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ind w:left="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I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przed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naszym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okienkiem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słońce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zaświeci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пол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.).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-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И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перед на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шим окном будет светить солнце.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(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Будет и на нашей улице праздник).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/>
          <w:i/>
          <w:iCs/>
          <w:sz w:val="24"/>
          <w:szCs w:val="24"/>
        </w:rPr>
        <w:t>Бързата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работа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—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срам за </w:t>
      </w:r>
      <w:r>
        <w:rPr>
          <w:rFonts w:ascii="Times New Roman" w:cs="Times New Roman" w:hAnsi="Times New Roman"/>
          <w:i/>
          <w:iCs/>
          <w:sz w:val="24"/>
          <w:szCs w:val="24"/>
        </w:rPr>
        <w:t>майстора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(</w:t>
      </w:r>
      <w:r>
        <w:rPr>
          <w:rFonts w:ascii="Times New Roman" w:cs="Times New Roman" w:hAnsi="Times New Roman"/>
          <w:i/>
          <w:iCs/>
          <w:sz w:val="24"/>
          <w:szCs w:val="24"/>
        </w:rPr>
        <w:t>болг</w:t>
      </w:r>
      <w:r>
        <w:rPr>
          <w:rFonts w:ascii="Times New Roman" w:cs="Times New Roman" w:hAnsi="Times New Roman"/>
          <w:i/>
          <w:iCs/>
          <w:sz w:val="24"/>
          <w:szCs w:val="24"/>
        </w:rPr>
        <w:t>.).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Быстрая работа - позор </w:t>
      </w:r>
      <w:r>
        <w:rPr>
          <w:rFonts w:ascii="Times New Roman" w:cs="Times New Roman" w:hAnsi="Times New Roman"/>
          <w:i/>
          <w:iCs/>
          <w:sz w:val="24"/>
          <w:szCs w:val="24"/>
        </w:rPr>
        <w:t>для мастера.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cs="Times New Roman" w:hAnsi="Times New Roman"/>
          <w:i/>
          <w:sz w:val="24"/>
          <w:szCs w:val="24"/>
        </w:rPr>
        <w:t>Работаешь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добросовестно,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так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и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в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глаза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людям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глядеть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не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совестно.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Всякая работа мастера хвалит.</w:t>
      </w:r>
      <w:r>
        <w:rPr>
          <w:rFonts w:ascii="Times New Roman" w:cs="Times New Roman" w:hAnsi="Times New Roman"/>
          <w:i/>
          <w:sz w:val="24"/>
          <w:szCs w:val="24"/>
        </w:rPr>
        <w:t>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Jak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ý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i/>
          <w:iCs/>
          <w:sz w:val="24"/>
          <w:szCs w:val="24"/>
        </w:rPr>
        <w:t>á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takov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ý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pes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чеш</w:t>
      </w:r>
      <w:r>
        <w:rPr>
          <w:rFonts w:ascii="Times New Roman" w:cs="Times New Roman" w:hAnsi="Times New Roman"/>
          <w:i/>
          <w:iCs/>
          <w:sz w:val="24"/>
          <w:szCs w:val="24"/>
        </w:rPr>
        <w:t>.).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- </w:t>
      </w:r>
      <w:r>
        <w:rPr>
          <w:rFonts w:ascii="Times New Roman" w:cs="Times New Roman" w:hAnsi="Times New Roman"/>
          <w:i/>
          <w:iCs/>
          <w:sz w:val="24"/>
          <w:szCs w:val="24"/>
        </w:rPr>
        <w:t>К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акой </w:t>
      </w:r>
      <w:r>
        <w:rPr>
          <w:rFonts w:ascii="Times New Roman" w:cs="Times New Roman" w:hAnsi="Times New Roman"/>
          <w:i/>
          <w:iCs/>
          <w:sz w:val="24"/>
          <w:szCs w:val="24"/>
        </w:rPr>
        <w:t>пан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такой и пес.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( </w:t>
      </w:r>
      <w:r>
        <w:rPr>
          <w:rFonts w:ascii="Times New Roman" w:cs="Times New Roman" w:hAnsi="Times New Roman"/>
          <w:i/>
          <w:iCs/>
          <w:sz w:val="24"/>
          <w:szCs w:val="24"/>
        </w:rPr>
        <w:t>Каков хозяин такова и собака)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Myszy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ta</w:t>
      </w:r>
      <w:r>
        <w:rPr>
          <w:rFonts w:ascii="Times New Roman" w:cs="Times New Roman" w:hAnsi="Times New Roman"/>
          <w:i/>
          <w:iCs/>
          <w:sz w:val="24"/>
          <w:szCs w:val="24"/>
        </w:rPr>
        <w:t>ń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cuj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ą,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gdy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kota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nie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czuj</w:t>
      </w:r>
      <w:r>
        <w:rPr>
          <w:rFonts w:ascii="Times New Roman" w:cs="Times New Roman" w:hAnsi="Times New Roman"/>
          <w:i/>
          <w:iCs/>
          <w:sz w:val="24"/>
          <w:szCs w:val="24"/>
        </w:rPr>
        <w:t>ą (пол.).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Мыши тан</w:t>
      </w:r>
      <w:r>
        <w:rPr>
          <w:rFonts w:ascii="Times New Roman" w:cs="Times New Roman" w:hAnsi="Times New Roman"/>
          <w:sz w:val="24"/>
          <w:szCs w:val="24"/>
        </w:rPr>
        <w:t>цуют</w:t>
      </w:r>
      <w:r>
        <w:rPr>
          <w:rFonts w:ascii="Times New Roman" w:cs="Times New Roman" w:hAnsi="Times New Roman"/>
          <w:sz w:val="24"/>
          <w:szCs w:val="24"/>
        </w:rPr>
        <w:t xml:space="preserve">, когда кот не видит.( </w:t>
      </w:r>
      <w:r>
        <w:rPr>
          <w:rFonts w:ascii="Times New Roman" w:cs="Times New Roman" w:hAnsi="Times New Roman"/>
          <w:sz w:val="24"/>
          <w:szCs w:val="24"/>
        </w:rPr>
        <w:t>Кот из дому- мышам раздолье.)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Якби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знав, де </w:t>
      </w:r>
      <w:r>
        <w:rPr>
          <w:rFonts w:ascii="Times New Roman" w:cs="Times New Roman" w:hAnsi="Times New Roman"/>
          <w:i/>
          <w:iCs/>
          <w:sz w:val="24"/>
          <w:szCs w:val="24"/>
        </w:rPr>
        <w:t>впадеш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, то й </w:t>
      </w:r>
      <w:r>
        <w:rPr>
          <w:rFonts w:ascii="Times New Roman" w:cs="Times New Roman" w:hAnsi="Times New Roman"/>
          <w:i/>
          <w:iCs/>
          <w:sz w:val="24"/>
          <w:szCs w:val="24"/>
        </w:rPr>
        <w:t>сіна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підклав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би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укр</w:t>
      </w:r>
      <w:r>
        <w:rPr>
          <w:rFonts w:ascii="Times New Roman" w:cs="Times New Roman" w:hAnsi="Times New Roman"/>
          <w:i/>
          <w:iCs/>
          <w:sz w:val="24"/>
          <w:szCs w:val="24"/>
        </w:rPr>
        <w:t>.).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- Если бы знал, что упадешь, сено бы подложил.(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Кабы знал, что упаде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шь, соломинку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бы </w:t>
      </w:r>
      <w:r>
        <w:rPr>
          <w:rFonts w:ascii="Times New Roman" w:cs="Times New Roman" w:hAnsi="Times New Roman"/>
          <w:i/>
          <w:iCs/>
          <w:sz w:val="24"/>
          <w:szCs w:val="24"/>
        </w:rPr>
        <w:t>под</w:t>
      </w:r>
      <w:r>
        <w:rPr>
          <w:rFonts w:ascii="Times New Roman" w:cs="Times New Roman" w:hAnsi="Times New Roman"/>
          <w:i/>
          <w:iCs/>
          <w:sz w:val="24"/>
          <w:szCs w:val="24"/>
        </w:rPr>
        <w:t>о</w:t>
      </w:r>
      <w:r>
        <w:rPr>
          <w:rFonts w:ascii="Times New Roman" w:cs="Times New Roman" w:hAnsi="Times New Roman"/>
          <w:i/>
          <w:iCs/>
          <w:sz w:val="24"/>
          <w:szCs w:val="24"/>
        </w:rPr>
        <w:t>стлал</w:t>
      </w:r>
      <w:r>
        <w:rPr>
          <w:rFonts w:ascii="Times New Roman" w:cs="Times New Roman" w:hAnsi="Times New Roman"/>
          <w:i/>
          <w:iCs/>
          <w:sz w:val="24"/>
          <w:szCs w:val="24"/>
        </w:rPr>
        <w:t>.</w:t>
      </w:r>
      <w:r>
        <w:rPr>
          <w:rFonts w:ascii="Times New Roman" w:cs="Times New Roman" w:hAnsi="Times New Roman"/>
          <w:i/>
          <w:iCs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pStyle w:val="style0"/>
        <w:numPr>
          <w:ilvl w:val="0"/>
          <w:numId w:val="0"/>
        </w:numPr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</w:t>
      </w:r>
    </w:p>
    <w:p>
      <w:pPr>
        <w:pStyle w:val="style0"/>
        <w:numPr>
          <w:ilvl w:val="0"/>
          <w:numId w:val="0"/>
        </w:numPr>
        <w:ind w:left="0" w:firstLine="0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Алкоголик&lt;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алкоголь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суффиксальный)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ind w:left="426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Трудоголик&lt;труд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(сложение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основ)</w:t>
      </w:r>
      <w:r>
        <w:rPr>
          <w:rFonts w:ascii="Times New Roman" w:cs="Times New Roman" w:hAnsi="Times New Roman"/>
          <w:sz w:val="24"/>
          <w:szCs w:val="24"/>
        </w:rPr>
        <w:t>. Т</w:t>
      </w:r>
      <w:r>
        <w:rPr>
          <w:rFonts w:ascii="Times New Roman" w:cs="Times New Roman" w:hAnsi="Times New Roman"/>
          <w:sz w:val="24"/>
          <w:szCs w:val="24"/>
        </w:rPr>
        <w:t>рудоголик считает, что удовлетворение можно ощутить лишь в работе.</w:t>
      </w:r>
    </w:p>
    <w:p>
      <w:pPr>
        <w:pStyle w:val="style179"/>
        <w:ind w:left="426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Шопоголик&lt;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калька из английского.</w:t>
      </w:r>
      <w:r>
        <w:rPr>
          <w:rFonts w:ascii="Times New Roman" w:cs="Times New Roman" w:hAnsi="Times New Roman"/>
          <w:sz w:val="24"/>
          <w:szCs w:val="24"/>
        </w:rPr>
        <w:t>Шопоголик – это человек, который зависит от покупок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0"/>
        </w:numPr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tabs>
          <w:tab w:val="left" w:leader="none" w:pos="284"/>
        </w:tabs>
        <w:spacing w:after="0" w:lineRule="auto" w:line="24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В сочетании с глаголом качественно-обстоятельственные наречия</w:t>
      </w:r>
      <w:r>
        <w:rPr>
          <w:rFonts w:ascii="Times New Roman" w:cs="Times New Roman" w:hAnsi="Times New Roman"/>
          <w:sz w:val="24"/>
          <w:szCs w:val="24"/>
        </w:rPr>
        <w:t> могут стоять и впереди определяемого слова (в силу инверсии), чаще же помещаются позади него. Это их нормальное положение. (Говорить громко</w:t>
      </w:r>
      <w:r>
        <w:rPr>
          <w:rFonts w:ascii="Times New Roman" w:cs="Times New Roman" w:hAnsi="Times New Roman"/>
          <w:sz w:val="24"/>
          <w:szCs w:val="24"/>
        </w:rPr>
        <w:t xml:space="preserve"> -громко говорить; бежать быстро- быст</w:t>
      </w:r>
      <w:r>
        <w:rPr>
          <w:rFonts w:ascii="Times New Roman" w:cs="Times New Roman" w:hAnsi="Times New Roman"/>
          <w:sz w:val="24"/>
          <w:szCs w:val="24"/>
        </w:rPr>
        <w:t xml:space="preserve">ро </w:t>
      </w:r>
      <w:r>
        <w:rPr>
          <w:rFonts w:ascii="Times New Roman" w:cs="Times New Roman" w:hAnsi="Times New Roman"/>
          <w:sz w:val="24"/>
          <w:szCs w:val="24"/>
        </w:rPr>
        <w:t>бежать)</w:t>
      </w:r>
    </w:p>
    <w:p>
      <w:pPr>
        <w:pStyle w:val="style0"/>
        <w:numPr>
          <w:ilvl w:val="0"/>
          <w:numId w:val="0"/>
        </w:numPr>
        <w:tabs>
          <w:tab w:val="left" w:leader="none" w:pos="284"/>
        </w:tabs>
        <w:spacing w:after="0" w:lineRule="auto" w:line="24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tabs>
          <w:tab w:val="left" w:leader="none" w:pos="284"/>
        </w:tabs>
        <w:spacing w:after="0" w:lineRule="auto" w:line="24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</w:t>
      </w:r>
    </w:p>
    <w:p>
      <w:pPr>
        <w:pStyle w:val="style0"/>
        <w:numPr>
          <w:ilvl w:val="0"/>
          <w:numId w:val="0"/>
        </w:numPr>
        <w:tabs>
          <w:tab w:val="left" w:leader="none" w:pos="0"/>
        </w:tabs>
        <w:spacing w:after="0" w:lineRule="auto" w:line="24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месяц.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Данные - причастие, определение.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В 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данных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Данных - местоимение, определение.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о нарушениях закона.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Д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анные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- 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им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я с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уществви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тельное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, дополнение.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Нам не 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дано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знать будущее.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Дано- 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глагол, главный 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член односоставного предложения.</w:t>
      </w:r>
    </w:p>
    <w:p>
      <w:pPr>
        <w:pStyle w:val="style179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</w:p>
    <w:p>
      <w:pPr>
        <w:pStyle w:val="style0"/>
        <w:numPr>
          <w:ilvl w:val="0"/>
          <w:numId w:val="0"/>
        </w:numPr>
        <w:ind w:left="0" w:firstLine="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7.</w:t>
      </w:r>
    </w:p>
    <w:p>
      <w:pPr>
        <w:pStyle w:val="style0"/>
        <w:numPr>
          <w:ilvl w:val="0"/>
          <w:numId w:val="0"/>
        </w:numPr>
        <w:ind w:left="0" w:firstLine="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tbl>
      <w:tblPr>
        <w:tblStyle w:val="style154"/>
        <w:tblW w:w="9345" w:type="dxa"/>
        <w:tblLook w:firstRow="1" w:lastRow="0" w:firstColumn="1" w:lastColumn="0" w:noHBand="0" w:noVBand="1"/>
      </w:tblPr>
      <w:tblGrid>
        <w:gridCol w:w="562"/>
        <w:gridCol w:w="2769"/>
        <w:gridCol w:w="1386"/>
        <w:gridCol w:w="2871"/>
        <w:gridCol w:w="1757"/>
      </w:tblGrid>
      <w:tr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относятся глаголы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, имеющие следующие ударные и безударные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окончания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: 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(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-ю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), 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  <w:t xml:space="preserve">Строить, </w:t>
            </w:r>
            <w:r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  <w:t>говорить,  сидеть</w:t>
            </w:r>
            <w:r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огласные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это согласные соотносительные по глухости - звонкости.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-с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д-т, б-п,г-к...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исло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форма склонения и спряжения,употребляется для обозначения двух предметов, или парных по природе (части тела и т. д.) или по обычаю.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Бока, плечи, глаза, очи, руки, бедра</w:t>
            </w:r>
          </w:p>
        </w:tc>
      </w:tr>
      <w:tr>
        <w:tblPrEx/>
        <w:trPr>
          <w:trHeight w:val="1796" w:hRule="atLeast"/>
        </w:trPr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огласные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ередача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олг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ого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соглас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ного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звук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 слове с помощью двух одинаковых согласных звуков.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Аллея, группа, суббота, хоккей, перрон.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Двусоставное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это предложение, структурную основу которого образуют подлежащ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ее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сказуемое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Я читаю.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Мама вернулась.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Кот замяукал.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ицо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глагола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указывает на то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 что д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ейс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твие совершает собеседник.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Идешь, мочишь, читаешь, пишешь.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ind w:hanging="1429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склонение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Это слова мужского рода с нулевым окончанием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и среднего рода с окончаниями -о, -е в именительном падеже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Окно, конь, дом, замок,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друг.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</w:p>
    <w:p>
      <w:pPr>
        <w:pStyle w:val="style0"/>
        <w:numPr>
          <w:ilvl w:val="0"/>
          <w:numId w:val="0"/>
        </w:numPr>
        <w:ind w:left="0" w:firstLine="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 </w:t>
      </w:r>
    </w:p>
    <w:p>
      <w:pPr>
        <w:pStyle w:val="style179"/>
        <w:numPr>
          <w:ilvl w:val="0"/>
          <w:numId w:val="8"/>
        </w:numPr>
        <w:ind w:left="426"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«Азбуковнике» Х</w:t>
      </w:r>
      <w:r>
        <w:rPr>
          <w:rFonts w:ascii="Times New Roman" w:cs="Times New Roman" w:hAnsi="Times New Roman"/>
          <w:sz w:val="24"/>
          <w:szCs w:val="24"/>
          <w:lang w:val="en-US"/>
        </w:rPr>
        <w:t>YII</w:t>
      </w:r>
      <w:r>
        <w:rPr>
          <w:rFonts w:ascii="Times New Roman" w:cs="Times New Roman" w:hAnsi="Times New Roman"/>
          <w:sz w:val="24"/>
          <w:szCs w:val="24"/>
        </w:rPr>
        <w:t xml:space="preserve"> в. находим поучение: «</w:t>
      </w:r>
      <w:r>
        <w:rPr>
          <w:rFonts w:ascii="Times New Roman" w:cs="Times New Roman" w:hAnsi="Times New Roman"/>
          <w:i/>
          <w:sz w:val="24"/>
          <w:szCs w:val="24"/>
        </w:rPr>
        <w:t>Везде пиши 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https://ru.wikipedia.org/wiki/%D0%9F%D1%91%D1%81</w:instrText>
      </w:r>
      <w:r>
        <w:instrText>"</w:instrText>
      </w:r>
      <w:r>
        <w:instrText xml:space="preserve"> \o </w:instrText>
      </w:r>
      <w:r>
        <w:instrText>"</w:instrText>
      </w:r>
      <w:r>
        <w:instrText>Пёс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color w:val="auto"/>
          <w:sz w:val="24"/>
          <w:szCs w:val="24"/>
          <w:u w:val="none"/>
        </w:rPr>
        <w:t>пса</w:t>
      </w:r>
      <w:r>
        <w:rPr/>
        <w:fldChar w:fldCharType="end"/>
      </w:r>
      <w:r>
        <w:rPr>
          <w:rFonts w:ascii="Times New Roman" w:cs="Times New Roman" w:hAnsi="Times New Roman"/>
          <w:i/>
          <w:sz w:val="24"/>
          <w:szCs w:val="24"/>
        </w:rPr>
        <w:t> 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https://ru.wikipedia.org/wiki/%D0%9F_(%D0%BA%D0%B8%D1%80%D0%B8%D0%BB%D0%BB%D0%B8%D1%86%D0%B0)</w:instrText>
      </w:r>
      <w:r>
        <w:instrText>"</w:instrText>
      </w:r>
      <w:r>
        <w:instrText xml:space="preserve"> \o </w:instrText>
      </w:r>
      <w:r>
        <w:instrText>"</w:instrText>
      </w:r>
      <w:r>
        <w:instrText>П (кириллица)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color w:val="auto"/>
          <w:sz w:val="24"/>
          <w:szCs w:val="24"/>
          <w:u w:val="none"/>
        </w:rPr>
        <w:t>покоем</w:t>
      </w:r>
      <w:r>
        <w:rPr/>
        <w:fldChar w:fldCharType="end"/>
      </w:r>
      <w:r>
        <w:rPr>
          <w:rFonts w:ascii="Times New Roman" w:cs="Times New Roman" w:hAnsi="Times New Roman"/>
          <w:i/>
          <w:sz w:val="24"/>
          <w:szCs w:val="24"/>
        </w:rPr>
        <w:t xml:space="preserve">, а не </w:t>
      </w:r>
      <w:r>
        <w:rPr>
          <w:rFonts w:ascii="Times New Roman" w:cs="Times New Roman" w:hAnsi="Times New Roman"/>
          <w:i/>
          <w:sz w:val="24"/>
          <w:szCs w:val="24"/>
        </w:rPr>
        <w:t>псями</w:t>
      </w:r>
      <w:r>
        <w:rPr>
          <w:rFonts w:ascii="Times New Roman" w:cs="Times New Roman" w:hAnsi="Times New Roman"/>
          <w:i/>
          <w:sz w:val="24"/>
          <w:szCs w:val="24"/>
        </w:rPr>
        <w:t>… Кое общение псу со псалмом?</w:t>
      </w:r>
      <w:r>
        <w:rPr>
          <w:rFonts w:ascii="Times New Roman" w:cs="Times New Roman" w:hAnsi="Times New Roman"/>
          <w:sz w:val="24"/>
          <w:szCs w:val="24"/>
        </w:rPr>
        <w:t xml:space="preserve">». В чем смысл </w:t>
      </w:r>
      <w:r>
        <w:rPr>
          <w:rFonts w:ascii="Times New Roman" w:cs="Times New Roman" w:hAnsi="Times New Roman"/>
          <w:sz w:val="24"/>
          <w:szCs w:val="24"/>
        </w:rPr>
        <w:t>последней</w:t>
      </w:r>
      <w:r>
        <w:rPr>
          <w:rFonts w:ascii="Times New Roman" w:cs="Times New Roman" w:hAnsi="Times New Roman"/>
          <w:sz w:val="24"/>
          <w:szCs w:val="24"/>
        </w:rPr>
        <w:t xml:space="preserve"> фразы? </w:t>
      </w:r>
    </w:p>
    <w:p>
      <w:pPr>
        <w:pStyle w:val="style179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Покой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пси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это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древние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названия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букв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кириллического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алфавита,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сохранявшиеся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церковно-славянской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традиции.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Буква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«покой»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обозначала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звук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[</w:t>
      </w:r>
      <w:r>
        <w:rPr>
          <w:rFonts w:ascii="Times New Roman" w:cs="Times New Roman" w:hAnsi="Times New Roman"/>
          <w:i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],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буква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«пси»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сочетание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пс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«Пси»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буква,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перенесенная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кириллицу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из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ее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источника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византийского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алфавита,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употреблялась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только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ограниченном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круге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слов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греческого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происхождения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(например,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псалом)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Заменять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этой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буквой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случайное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сочетание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звуков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других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словах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было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недопустимо: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буквы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«пси»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вообще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может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быть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разговорных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словах.</w:t>
      </w:r>
    </w:p>
    <w:p>
      <w:pPr>
        <w:pStyle w:val="style179"/>
        <w:numPr>
          <w:ilvl w:val="0"/>
          <w:numId w:val="8"/>
        </w:numPr>
        <w:ind w:left="426" w:hanging="426"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Что обозначало слово </w:t>
      </w:r>
      <w:r>
        <w:rPr>
          <w:rFonts w:ascii="Times New Roman" w:cs="Times New Roman" w:hAnsi="Times New Roman"/>
          <w:i/>
          <w:iCs/>
          <w:sz w:val="24"/>
          <w:szCs w:val="24"/>
        </w:rPr>
        <w:t>ѱ</w:t>
      </w:r>
      <w:r>
        <w:rPr>
          <w:rFonts w:ascii="Times New Roman" w:cs="Times New Roman" w:hAnsi="Times New Roman"/>
          <w:i/>
          <w:iCs/>
          <w:sz w:val="24"/>
          <w:szCs w:val="24"/>
        </w:rPr>
        <w:t>л҃</w:t>
      </w:r>
      <w:r>
        <w:rPr>
          <w:rFonts w:ascii="Times New Roman" w:cs="Times New Roman" w:hAnsi="Times New Roman"/>
          <w:i/>
          <w:iCs/>
          <w:sz w:val="24"/>
          <w:szCs w:val="24"/>
        </w:rPr>
        <w:t>ъ</w:t>
      </w:r>
      <w:r>
        <w:rPr>
          <w:rFonts w:ascii="Times New Roman" w:cs="Times New Roman" w:hAnsi="Times New Roman"/>
          <w:sz w:val="24"/>
          <w:szCs w:val="24"/>
        </w:rPr>
        <w:t xml:space="preserve"> или </w:t>
      </w:r>
      <w:r>
        <w:rPr>
          <w:rFonts w:ascii="Times New Roman" w:cs="Times New Roman" w:hAnsi="Times New Roman"/>
          <w:i/>
          <w:iCs/>
          <w:sz w:val="24"/>
          <w:szCs w:val="24"/>
        </w:rPr>
        <w:t>ѱ</w:t>
      </w:r>
      <w:r>
        <w:rPr>
          <w:rFonts w:ascii="Times New Roman" w:cs="Times New Roman" w:hAnsi="Times New Roman"/>
          <w:i/>
          <w:iCs/>
          <w:sz w:val="24"/>
          <w:szCs w:val="24"/>
        </w:rPr>
        <w:t>ал҃</w:t>
      </w:r>
      <w:r>
        <w:rPr>
          <w:rFonts w:ascii="Times New Roman" w:cs="Times New Roman" w:hAnsi="Times New Roman"/>
          <w:i/>
          <w:iCs/>
          <w:sz w:val="24"/>
          <w:szCs w:val="24"/>
        </w:rPr>
        <w:t>ъ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Cs/>
          <w:sz w:val="24"/>
          <w:szCs w:val="24"/>
        </w:rPr>
        <w:t>после имени человека в древнерусских текстах?</w:t>
      </w:r>
    </w:p>
    <w:p>
      <w:pPr>
        <w:pStyle w:val="style179"/>
        <w:numPr>
          <w:ilvl w:val="0"/>
          <w:numId w:val="0"/>
        </w:numPr>
        <w:ind w:left="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</w:t>
      </w:r>
      <w:r>
        <w:rPr>
          <w:rFonts w:ascii="Times New Roman" w:cs="Times New Roman" w:hAnsi="Times New Roman"/>
          <w:sz w:val="24"/>
          <w:szCs w:val="24"/>
        </w:rPr>
        <w:t>ередкое употребление эт</w:t>
      </w:r>
      <w:r>
        <w:rPr>
          <w:rFonts w:ascii="Times New Roman" w:cs="Times New Roman" w:hAnsi="Times New Roman"/>
          <w:sz w:val="24"/>
          <w:szCs w:val="24"/>
        </w:rPr>
        <w:t xml:space="preserve">их слов </w:t>
      </w:r>
      <w:r>
        <w:rPr>
          <w:rFonts w:ascii="Times New Roman" w:cs="Times New Roman" w:hAnsi="Times New Roman"/>
          <w:sz w:val="24"/>
          <w:szCs w:val="24"/>
        </w:rPr>
        <w:t>— в составе частой в надписях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формулы «такой-то писал»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ind w:left="426" w:hanging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>
        <w:rPr>
          <w:rFonts w:ascii="Times New Roman" w:cs="Times New Roman" w:hAnsi="Times New Roman"/>
          <w:sz w:val="24"/>
          <w:szCs w:val="24"/>
        </w:rPr>
        <w:t>Ѱ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0"/>
        </w:numPr>
        <w:ind w:left="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Алхимический знак ртути. Этот символ имеет давнюю историю и использовался еще Аристотелем. Точное значение его нам неизвестно. Возможно, что данный символ является стилизованным изображением кадуцея Меркурия (Гермеса), т.к. ртуть получила свое название именно в честь Меркурия (Mercury). </w:t>
      </w:r>
    </w:p>
    <w:p>
      <w:pPr>
        <w:pStyle w:val="style0"/>
        <w:numPr>
          <w:ilvl w:val="0"/>
          <w:numId w:val="0"/>
        </w:numPr>
        <w:ind w:left="426" w:hanging="426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4)</w:t>
      </w:r>
      <w:r>
        <w:rPr>
          <w:rFonts w:ascii="Times New Roman" w:cs="Times New Roman" w:hAnsi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cs="Times New Roman" w:hAnsi="Times New Roman"/>
          <w:sz w:val="24"/>
          <w:szCs w:val="24"/>
          <w:lang w:val="en-US"/>
        </w:rPr>
        <w:t>XX</w:t>
      </w:r>
      <w:r>
        <w:rPr>
          <w:rFonts w:ascii="Times New Roman" w:cs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  <w:lang w:val="en-US"/>
        </w:rPr>
        <w:t>XXI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веков, носила название «Ѱ-700»? В чем причина выбор именно этой цифры?</w:t>
      </w:r>
      <w:bookmarkStart w:id="0" w:name="_GoBack"/>
      <w:bookmarkEnd w:id="0"/>
    </w:p>
    <w:p>
      <w:pPr>
        <w:pStyle w:val="style0"/>
        <w:rPr>
          <w:rFonts w:ascii="Times New Roman" w:cs="Times New Roman" w:eastAsia="Times New Roman"/>
          <w:sz w:val="24"/>
          <w:szCs w:val="24"/>
        </w:rPr>
      </w:pPr>
      <w:r>
        <w:rPr>
          <w:rFonts w:ascii="Times New Roman" w:cs="Times New Roman" w:eastAsia="Times New Roman"/>
          <w:sz w:val="24"/>
          <w:szCs w:val="24"/>
        </w:rPr>
        <w:t xml:space="preserve">Известно, что древние греки также использовали символ </w:t>
      </w:r>
      <w:r>
        <w:rPr>
          <w:rFonts w:ascii="Times New Roman" w:cs="Times New Roman" w:eastAsia="Times New Roman"/>
          <w:sz w:val="24"/>
          <w:szCs w:val="24"/>
        </w:rPr>
        <w:t>"</w:t>
      </w:r>
      <w:r>
        <w:rPr>
          <w:rFonts w:ascii="Times New Roman" w:cs="Times New Roman" w:eastAsia="Times New Roman"/>
          <w:sz w:val="24"/>
          <w:szCs w:val="24"/>
        </w:rPr>
        <w:t>пси</w:t>
      </w:r>
      <w:r>
        <w:rPr>
          <w:rFonts w:ascii="Times New Roman" w:cs="Times New Roman" w:eastAsia="Times New Roman"/>
          <w:sz w:val="24"/>
          <w:szCs w:val="24"/>
        </w:rPr>
        <w:t>"</w:t>
      </w:r>
      <w:r>
        <w:rPr>
          <w:rFonts w:ascii="Times New Roman" w:cs="Times New Roman" w:eastAsia="Times New Roman"/>
          <w:sz w:val="24"/>
          <w:szCs w:val="24"/>
        </w:rPr>
        <w:t xml:space="preserve"> для обозначения числа 700, чтобы отличить его от аналогичной буквы они справа от числа рисовали чёрточку </w:t>
      </w:r>
      <w:r>
        <w:rPr>
          <w:rFonts w:ascii="Times New Roman" w:cs="Times New Roman" w:eastAsia="Times New Roman"/>
          <w:sz w:val="24"/>
          <w:szCs w:val="24"/>
        </w:rPr>
        <w:t xml:space="preserve">(титло) </w:t>
      </w:r>
      <w:r>
        <w:rPr>
          <w:rFonts w:ascii="Times New Roman" w:cs="Times New Roman" w:eastAsia="Times New Roman"/>
          <w:sz w:val="24"/>
          <w:szCs w:val="24"/>
        </w:rPr>
        <w:t>— ψ΄. Однако с распространением римских, а позже арабских цифр, греческая система записи чисел была забыта. В настоящее время, греческая буква ψ широко используется в физике (в квантовой механике её используют для обозначения волновой функции) и в математике (для обозначения полигамма-функции).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false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3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0000004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0000006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fals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false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4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Words>4822</Words>
  <Characters>4948</Characters>
  <Application>WPS Office</Application>
  <DocSecurity>0</DocSecurity>
  <Paragraphs>89</Paragraphs>
  <ScaleCrop>false</ScaleCrop>
  <Company>Home</Company>
  <LinksUpToDate>false</LinksUpToDate>
  <CharactersWithSpaces>5623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2017-12-07T19:40:00Z</dcterms:created>
  <dc:creator>Admin</dc:creator>
  <lastModifiedBy>SM-T805</lastModifiedBy>
  <dcterms:modified xsi:type="dcterms:W3CDTF">2017-12-10T16:38:23Z</dcterms:modified>
  <revision>9</revision>
</coreProperties>
</file>