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2D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Алтынбаева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Ильгамовна</w:t>
      </w:r>
      <w:proofErr w:type="spellEnd"/>
    </w:p>
    <w:p w:rsidR="00C238A1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средняя общеобразовательная школа №4</w:t>
      </w:r>
    </w:p>
    <w:p w:rsidR="00C238A1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C238A1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Г.Мелеуз</w:t>
      </w:r>
      <w:bookmarkStart w:id="0" w:name="_GoBack"/>
      <w:bookmarkEnd w:id="0"/>
      <w:proofErr w:type="spellEnd"/>
    </w:p>
    <w:p w:rsidR="00C238A1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C238A1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стихотворения состоит в том, что не нужно быть одиноким. Этот материнский наказ можно понять так: если ты одинок, то ты вряд ли чего-то добьешься, а с товарищами можно добиться всего, ведь они тебе помогут.</w:t>
      </w:r>
    </w:p>
    <w:p w:rsidR="00C238A1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одних и тех же строчек в начале и финале стихотворения называется анафора. В стихотворении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использует художественную выразительность башкирской национальности.</w:t>
      </w:r>
    </w:p>
    <w:p w:rsidR="00C238A1" w:rsidRPr="00C238A1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этому стихотворению можно подобрать следующие русские пословицы: «И воробей не живет без людей», «Один в поле не воин», «</w:t>
      </w:r>
      <w:r w:rsidR="00526473">
        <w:rPr>
          <w:rFonts w:ascii="Times New Roman" w:hAnsi="Times New Roman" w:cs="Times New Roman"/>
          <w:sz w:val="28"/>
          <w:szCs w:val="28"/>
        </w:rPr>
        <w:t>Одна голова хорошо, а две лучше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64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38A1" w:rsidRPr="00C238A1" w:rsidSect="00C238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A1"/>
    <w:rsid w:val="00526473"/>
    <w:rsid w:val="00C238A1"/>
    <w:rsid w:val="00D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2018-10-18T18:46:00Z</dcterms:created>
  <dcterms:modified xsi:type="dcterms:W3CDTF">2018-10-18T18:57:00Z</dcterms:modified>
</cp:coreProperties>
</file>