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DC" w:rsidRDefault="007665DC" w:rsidP="007665DC">
      <w:pPr>
        <w:rPr>
          <w:i/>
        </w:rPr>
      </w:pPr>
      <w:r>
        <w:t xml:space="preserve">2. </w:t>
      </w:r>
      <w:r>
        <w:rPr>
          <w:i/>
        </w:rPr>
        <w:t>Посчитаем сначала число способов, которыми можно покрасить забор так, чтобы любые две соседние доски были покрашены в различные цвета. Первую доску можно покрасить любой из трех красок, вторую – одной из двух остальных. Третью – одной из двух красок, отличающихся по цвету от второй доски и так далее. То есть число способов равно 3∙2</w:t>
      </w:r>
      <w:r>
        <w:rPr>
          <w:i/>
          <w:vertAlign w:val="superscript"/>
        </w:rPr>
        <w:t>9</w:t>
      </w:r>
      <w:r>
        <w:rPr>
          <w:i/>
        </w:rPr>
        <w:t>=1536.</w:t>
      </w:r>
    </w:p>
    <w:p w:rsidR="007665DC" w:rsidRDefault="007665DC" w:rsidP="007665DC">
      <w:pPr>
        <w:rPr>
          <w:i/>
        </w:rPr>
      </w:pPr>
      <w:r>
        <w:rPr>
          <w:i/>
        </w:rPr>
        <w:t>В полученное число вошли и способы покраски забора в два цвета. Число таких способов равно 6  (одну доску можно покрасить тремя способами, а вторую – двумя, далее покраска определяется однозначно. Итого 1536 – 6 = 1530.</w:t>
      </w:r>
    </w:p>
    <w:p w:rsidR="007665DC" w:rsidRDefault="007665DC" w:rsidP="007665DC">
      <w:pPr>
        <w:rPr>
          <w:i/>
        </w:rPr>
      </w:pPr>
      <w:r>
        <w:rPr>
          <w:i/>
        </w:rPr>
        <w:t xml:space="preserve">    </w:t>
      </w:r>
    </w:p>
    <w:p w:rsidR="007665DC" w:rsidRDefault="007665DC" w:rsidP="007665DC">
      <w:pPr>
        <w:rPr>
          <w:i/>
        </w:rPr>
      </w:pPr>
    </w:p>
    <w:p w:rsidR="007665DC" w:rsidRDefault="007665DC" w:rsidP="007665DC">
      <w:pPr>
        <w:rPr>
          <w:i/>
        </w:rPr>
      </w:pPr>
    </w:p>
    <w:p w:rsidR="007665DC" w:rsidRDefault="007665DC" w:rsidP="007665DC">
      <w:pPr>
        <w:rPr>
          <w:i/>
        </w:rPr>
      </w:pPr>
    </w:p>
    <w:p w:rsidR="007665DC" w:rsidRDefault="007665DC" w:rsidP="007665DC">
      <w:r>
        <w:t>Ямалетдинова</w:t>
      </w:r>
    </w:p>
    <w:p w:rsidR="007665DC" w:rsidRDefault="007665DC" w:rsidP="007665DC">
      <w:r>
        <w:t>Алсу</w:t>
      </w:r>
    </w:p>
    <w:p w:rsidR="007665DC" w:rsidRDefault="007665DC" w:rsidP="007665DC">
      <w:r>
        <w:t>Салаватовна</w:t>
      </w:r>
    </w:p>
    <w:p w:rsidR="007665DC" w:rsidRDefault="007665DC" w:rsidP="007665DC">
      <w:r>
        <w:t>10</w:t>
      </w:r>
    </w:p>
    <w:p w:rsidR="007665DC" w:rsidRDefault="007665DC" w:rsidP="007665DC">
      <w:r>
        <w:t>№7</w:t>
      </w:r>
    </w:p>
    <w:p w:rsidR="007665DC" w:rsidRDefault="007665DC" w:rsidP="007665DC">
      <w:r>
        <w:t>Г. Туймазы</w:t>
      </w:r>
    </w:p>
    <w:p w:rsidR="007665DC" w:rsidRDefault="007665DC" w:rsidP="007665DC">
      <w:r>
        <w:t>Туймазинский</w:t>
      </w:r>
    </w:p>
    <w:p w:rsidR="007665DC" w:rsidRPr="007665DC" w:rsidRDefault="007665DC" w:rsidP="007665DC">
      <w:r>
        <w:t>Хамидуллина Луиза Васильевна</w:t>
      </w:r>
    </w:p>
    <w:p w:rsidR="00595B01" w:rsidRDefault="00595B01"/>
    <w:sectPr w:rsidR="00595B01" w:rsidSect="00595B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665DC"/>
    <w:rsid w:val="00595B01"/>
    <w:rsid w:val="0076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2017-03-08T17:03:00Z</dcterms:created>
  <dcterms:modified xsi:type="dcterms:W3CDTF">2017-03-08T17:05:00Z</dcterms:modified>
</cp:coreProperties>
</file>