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3FC9" w:rsidRDefault="00253FC9" w:rsidP="00253FC9">
      <w:pPr>
        <w:suppressAutoHyphens w:val="0"/>
        <w:rPr>
          <w:rFonts w:eastAsia="Calibri"/>
          <w:b/>
          <w:lang w:eastAsia="en-US"/>
        </w:rPr>
      </w:pPr>
      <w:r w:rsidRPr="00253FC9">
        <w:rPr>
          <w:rFonts w:eastAsia="Calibri"/>
          <w:b/>
          <w:lang w:eastAsia="en-US"/>
        </w:rPr>
        <w:t xml:space="preserve">Бланк ответов по истории, </w:t>
      </w:r>
      <w:r w:rsidR="002219FE">
        <w:rPr>
          <w:rFonts w:eastAsia="Calibri"/>
          <w:b/>
          <w:lang w:eastAsia="en-US"/>
        </w:rPr>
        <w:t>10-11</w:t>
      </w:r>
      <w:r w:rsidRPr="00253FC9">
        <w:rPr>
          <w:rFonts w:eastAsia="Calibri"/>
          <w:b/>
          <w:lang w:eastAsia="en-US"/>
        </w:rPr>
        <w:t>-е классы</w:t>
      </w:r>
      <w:r w:rsidR="002219FE">
        <w:rPr>
          <w:rFonts w:eastAsia="Calibri"/>
          <w:b/>
          <w:lang w:eastAsia="en-US"/>
        </w:rPr>
        <w:t>, СПО</w:t>
      </w:r>
      <w:r w:rsidRPr="00253FC9">
        <w:rPr>
          <w:rFonts w:eastAsia="Calibri"/>
          <w:b/>
          <w:lang w:eastAsia="en-US"/>
        </w:rPr>
        <w:t xml:space="preserve"> </w:t>
      </w:r>
    </w:p>
    <w:tbl>
      <w:tblPr>
        <w:tblW w:w="1073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567"/>
        <w:gridCol w:w="8892"/>
      </w:tblGrid>
      <w:tr w:rsidR="00074BBF" w:rsidRPr="002219FE" w:rsidTr="002219FE">
        <w:tc>
          <w:tcPr>
            <w:tcW w:w="1276" w:type="dxa"/>
            <w:shd w:val="clear" w:color="auto" w:fill="auto"/>
          </w:tcPr>
          <w:p w:rsidR="00074BBF" w:rsidRPr="002219FE" w:rsidRDefault="00074BBF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 xml:space="preserve">Задание </w:t>
            </w:r>
          </w:p>
        </w:tc>
        <w:tc>
          <w:tcPr>
            <w:tcW w:w="9459" w:type="dxa"/>
            <w:gridSpan w:val="2"/>
            <w:shd w:val="clear" w:color="auto" w:fill="auto"/>
          </w:tcPr>
          <w:p w:rsidR="00074BBF" w:rsidRPr="002219FE" w:rsidRDefault="00074BBF" w:rsidP="002219FE">
            <w:pPr>
              <w:suppressAutoHyphens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Ответ</w:t>
            </w:r>
          </w:p>
        </w:tc>
      </w:tr>
      <w:tr w:rsidR="00074BBF" w:rsidRPr="002219FE" w:rsidTr="002219FE">
        <w:tc>
          <w:tcPr>
            <w:tcW w:w="1276" w:type="dxa"/>
            <w:vMerge w:val="restart"/>
            <w:shd w:val="clear" w:color="auto" w:fill="auto"/>
          </w:tcPr>
          <w:p w:rsidR="00074BBF" w:rsidRPr="002219FE" w:rsidRDefault="00074BBF" w:rsidP="002219FE">
            <w:pPr>
              <w:suppressAutoHyphens w:val="0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b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67" w:type="dxa"/>
            <w:shd w:val="clear" w:color="auto" w:fill="auto"/>
          </w:tcPr>
          <w:p w:rsidR="00074BBF" w:rsidRPr="002219FE" w:rsidRDefault="00074BBF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892" w:type="dxa"/>
            <w:shd w:val="clear" w:color="auto" w:fill="auto"/>
          </w:tcPr>
          <w:p w:rsidR="00074BBF" w:rsidRPr="00E56EFA" w:rsidRDefault="00E56EFA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Летописи. Возникли в </w:t>
            </w:r>
            <w:r>
              <w:rPr>
                <w:rFonts w:eastAsia="Calibri"/>
                <w:sz w:val="28"/>
                <w:szCs w:val="28"/>
                <w:lang w:val="en-AU" w:eastAsia="en-US"/>
              </w:rPr>
              <w:t>XI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веке, когда на Руси начали делать исторические записи.</w:t>
            </w:r>
          </w:p>
        </w:tc>
      </w:tr>
      <w:tr w:rsidR="00074BBF" w:rsidRPr="002219FE" w:rsidTr="002219FE">
        <w:tc>
          <w:tcPr>
            <w:tcW w:w="1276" w:type="dxa"/>
            <w:vMerge/>
            <w:shd w:val="clear" w:color="auto" w:fill="auto"/>
          </w:tcPr>
          <w:p w:rsidR="00074BBF" w:rsidRPr="002219FE" w:rsidRDefault="00074BBF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074BBF" w:rsidRPr="002219FE" w:rsidRDefault="00074BBF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892" w:type="dxa"/>
            <w:shd w:val="clear" w:color="auto" w:fill="auto"/>
          </w:tcPr>
          <w:p w:rsidR="00074BBF" w:rsidRPr="00E56EFA" w:rsidRDefault="00E56EFA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E56EFA">
              <w:rPr>
                <w:color w:val="202122"/>
                <w:sz w:val="28"/>
                <w:szCs w:val="28"/>
                <w:shd w:val="clear" w:color="auto" w:fill="FFFFFF"/>
              </w:rPr>
              <w:t>“</w:t>
            </w:r>
            <w:r>
              <w:rPr>
                <w:color w:val="202122"/>
                <w:sz w:val="28"/>
                <w:szCs w:val="28"/>
                <w:shd w:val="clear" w:color="auto" w:fill="FFFFFF"/>
              </w:rPr>
              <w:t>Л</w:t>
            </w:r>
            <w:r w:rsidRPr="00E56EFA">
              <w:rPr>
                <w:color w:val="202122"/>
                <w:sz w:val="28"/>
                <w:szCs w:val="28"/>
                <w:shd w:val="clear" w:color="auto" w:fill="FFFFFF"/>
              </w:rPr>
              <w:t>етописи являются компиляциями и их первоначальные источники не дошли до на</w:t>
            </w:r>
            <w:r w:rsidRPr="00E56EFA">
              <w:rPr>
                <w:color w:val="202122"/>
                <w:sz w:val="28"/>
                <w:szCs w:val="28"/>
                <w:shd w:val="clear" w:color="auto" w:fill="FFFFFF"/>
              </w:rPr>
              <w:t>с</w:t>
            </w:r>
            <w:r>
              <w:rPr>
                <w:color w:val="202122"/>
                <w:sz w:val="28"/>
                <w:szCs w:val="28"/>
                <w:shd w:val="clear" w:color="auto" w:fill="FFFFFF"/>
              </w:rPr>
              <w:t>.</w:t>
            </w:r>
            <w:r w:rsidRPr="00E56EFA">
              <w:rPr>
                <w:color w:val="202122"/>
                <w:sz w:val="28"/>
                <w:szCs w:val="28"/>
                <w:shd w:val="clear" w:color="auto" w:fill="FFFFFF"/>
              </w:rPr>
              <w:t xml:space="preserve">” </w:t>
            </w:r>
            <w:r>
              <w:rPr>
                <w:color w:val="202122"/>
                <w:sz w:val="28"/>
                <w:szCs w:val="28"/>
                <w:shd w:val="clear" w:color="auto" w:fill="FFFFFF"/>
              </w:rPr>
              <w:t>–</w:t>
            </w:r>
            <w:r w:rsidRPr="00E56EFA">
              <w:rPr>
                <w:color w:val="202122"/>
                <w:sz w:val="28"/>
                <w:szCs w:val="28"/>
                <w:shd w:val="clear" w:color="auto" w:fill="FFFFFF"/>
              </w:rPr>
              <w:t xml:space="preserve"> </w:t>
            </w:r>
            <w:r>
              <w:rPr>
                <w:color w:val="202122"/>
                <w:sz w:val="28"/>
                <w:szCs w:val="28"/>
                <w:shd w:val="clear" w:color="auto" w:fill="FFFFFF"/>
              </w:rPr>
              <w:t>П.М. Строев</w:t>
            </w:r>
          </w:p>
        </w:tc>
      </w:tr>
      <w:tr w:rsidR="00074BBF" w:rsidRPr="002219FE" w:rsidTr="002219FE">
        <w:tc>
          <w:tcPr>
            <w:tcW w:w="1276" w:type="dxa"/>
            <w:vMerge/>
            <w:shd w:val="clear" w:color="auto" w:fill="auto"/>
          </w:tcPr>
          <w:p w:rsidR="00074BBF" w:rsidRPr="002219FE" w:rsidRDefault="00074BBF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074BBF" w:rsidRPr="002219FE" w:rsidRDefault="00074BBF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074BBF" w:rsidRPr="00E56EFA" w:rsidRDefault="00E56EFA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E56EFA">
              <w:rPr>
                <w:rFonts w:eastAsia="Calibri"/>
                <w:sz w:val="28"/>
                <w:szCs w:val="28"/>
                <w:lang w:eastAsia="en-US"/>
              </w:rPr>
              <w:t>“</w:t>
            </w:r>
            <w:r>
              <w:rPr>
                <w:rFonts w:eastAsia="Calibri"/>
                <w:sz w:val="28"/>
                <w:szCs w:val="28"/>
                <w:lang w:eastAsia="en-US"/>
              </w:rPr>
              <w:t>Повесть временных лет не является древнейшим текстом</w:t>
            </w:r>
            <w:r w:rsidRPr="00E56EFA">
              <w:rPr>
                <w:rFonts w:eastAsia="Calibri"/>
                <w:sz w:val="28"/>
                <w:szCs w:val="28"/>
                <w:lang w:eastAsia="en-US"/>
              </w:rPr>
              <w:t xml:space="preserve">” </w:t>
            </w:r>
            <w:r>
              <w:rPr>
                <w:rFonts w:eastAsia="Calibri"/>
                <w:sz w:val="28"/>
                <w:szCs w:val="28"/>
                <w:lang w:eastAsia="en-US"/>
              </w:rPr>
              <w:t>–</w:t>
            </w:r>
            <w:r w:rsidRPr="00E56EFA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="Calibri"/>
                <w:sz w:val="28"/>
                <w:szCs w:val="28"/>
                <w:lang w:eastAsia="en-US"/>
              </w:rPr>
              <w:t>А.А. Шахматов</w:t>
            </w:r>
          </w:p>
        </w:tc>
      </w:tr>
      <w:tr w:rsidR="00074BBF" w:rsidRPr="002219FE" w:rsidTr="002219FE">
        <w:tc>
          <w:tcPr>
            <w:tcW w:w="1276" w:type="dxa"/>
            <w:vMerge/>
            <w:shd w:val="clear" w:color="auto" w:fill="auto"/>
          </w:tcPr>
          <w:p w:rsidR="00074BBF" w:rsidRPr="002219FE" w:rsidRDefault="00074BBF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074BBF" w:rsidRPr="002219FE" w:rsidRDefault="00074BBF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074BBF" w:rsidRPr="00E56EFA" w:rsidRDefault="00E56EFA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E56EFA">
              <w:rPr>
                <w:rFonts w:eastAsia="Calibri"/>
                <w:sz w:val="28"/>
                <w:szCs w:val="28"/>
                <w:lang w:eastAsia="en-US"/>
              </w:rPr>
              <w:t>“</w:t>
            </w:r>
            <w:r>
              <w:rPr>
                <w:rFonts w:eastAsia="Calibri"/>
                <w:sz w:val="28"/>
                <w:szCs w:val="28"/>
                <w:lang w:eastAsia="en-US"/>
              </w:rPr>
              <w:t>В</w:t>
            </w:r>
            <w:r w:rsidRPr="00E56EFA">
              <w:rPr>
                <w:color w:val="000000"/>
                <w:sz w:val="28"/>
                <w:szCs w:val="28"/>
                <w:shd w:val="clear" w:color="auto" w:fill="FFFFFF" w:themeFill="background1"/>
              </w:rPr>
              <w:t>озникновение и развитие летописания обусловливалось в значительной мере образованием и развитием, оформлением и укреплением Древнерусского государства</w:t>
            </w:r>
            <w:r w:rsidRPr="00E56EFA">
              <w:rPr>
                <w:color w:val="000000"/>
                <w:sz w:val="28"/>
                <w:szCs w:val="28"/>
                <w:shd w:val="clear" w:color="auto" w:fill="FFFFFF" w:themeFill="background1"/>
              </w:rPr>
              <w:t>.”</w:t>
            </w:r>
            <w:r>
              <w:rPr>
                <w:color w:val="000000"/>
                <w:sz w:val="28"/>
                <w:szCs w:val="28"/>
                <w:shd w:val="clear" w:color="auto" w:fill="FFFFFF" w:themeFill="background1"/>
              </w:rPr>
              <w:t xml:space="preserve"> – А. Насонов</w:t>
            </w:r>
          </w:p>
        </w:tc>
      </w:tr>
      <w:tr w:rsidR="002219FE" w:rsidRPr="002219FE" w:rsidTr="002219FE">
        <w:tc>
          <w:tcPr>
            <w:tcW w:w="1276" w:type="dxa"/>
            <w:vMerge w:val="restart"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b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892" w:type="dxa"/>
            <w:shd w:val="clear" w:color="auto" w:fill="auto"/>
          </w:tcPr>
          <w:p w:rsidR="002219FE" w:rsidRPr="002219FE" w:rsidRDefault="009E7EAD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Успенский собор и Дмитриевский собор. Владимир</w:t>
            </w:r>
          </w:p>
        </w:tc>
      </w:tr>
      <w:tr w:rsidR="002219FE" w:rsidRPr="002219FE" w:rsidTr="002219FE">
        <w:tc>
          <w:tcPr>
            <w:tcW w:w="1276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892" w:type="dxa"/>
            <w:shd w:val="clear" w:color="auto" w:fill="auto"/>
          </w:tcPr>
          <w:p w:rsidR="002219FE" w:rsidRPr="009E7EAD" w:rsidRDefault="009E7EAD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Сооружены в </w:t>
            </w:r>
            <w:r>
              <w:rPr>
                <w:rFonts w:eastAsia="Calibri"/>
                <w:sz w:val="28"/>
                <w:szCs w:val="28"/>
                <w:lang w:val="en-AU" w:eastAsia="en-US"/>
              </w:rPr>
              <w:t>XII</w:t>
            </w:r>
            <w:r>
              <w:rPr>
                <w:rFonts w:eastAsia="Calibri"/>
                <w:sz w:val="28"/>
                <w:szCs w:val="28"/>
                <w:lang w:val="en-US" w:eastAsia="en-US"/>
              </w:rPr>
              <w:t xml:space="preserve"> </w:t>
            </w:r>
            <w:r>
              <w:rPr>
                <w:rFonts w:eastAsia="Calibri"/>
                <w:sz w:val="28"/>
                <w:szCs w:val="28"/>
                <w:lang w:eastAsia="en-US"/>
              </w:rPr>
              <w:t>веке.</w:t>
            </w:r>
          </w:p>
        </w:tc>
      </w:tr>
      <w:tr w:rsidR="002219FE" w:rsidRPr="002219FE" w:rsidTr="002219FE">
        <w:tc>
          <w:tcPr>
            <w:tcW w:w="1276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2219FE" w:rsidRPr="002219FE" w:rsidRDefault="009E7EAD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Отличия:</w:t>
            </w:r>
          </w:p>
        </w:tc>
      </w:tr>
      <w:tr w:rsidR="002219FE" w:rsidRPr="002219FE" w:rsidTr="002219FE">
        <w:tc>
          <w:tcPr>
            <w:tcW w:w="1276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2219FE" w:rsidRPr="009E7EAD" w:rsidRDefault="009E7EAD" w:rsidP="009E7EAD">
            <w:pPr>
              <w:numPr>
                <w:ilvl w:val="0"/>
                <w:numId w:val="5"/>
              </w:num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Успенский собор построен князем Андреем 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Боголюбским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>, а Дмитриевский – Всеволодом Большое Гнездо</w:t>
            </w:r>
          </w:p>
        </w:tc>
      </w:tr>
      <w:tr w:rsidR="002219FE" w:rsidRPr="002219FE" w:rsidTr="002219FE">
        <w:tc>
          <w:tcPr>
            <w:tcW w:w="1276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2219FE" w:rsidRPr="002219FE" w:rsidRDefault="009E7EAD" w:rsidP="009E7EAD">
            <w:pPr>
              <w:numPr>
                <w:ilvl w:val="0"/>
                <w:numId w:val="5"/>
              </w:num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Качество камня Успенского собор значительно выше, чем Дмитриевского.</w:t>
            </w:r>
          </w:p>
        </w:tc>
      </w:tr>
      <w:tr w:rsidR="002219FE" w:rsidRPr="002219FE" w:rsidTr="002219FE">
        <w:tc>
          <w:tcPr>
            <w:tcW w:w="1276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892" w:type="dxa"/>
            <w:shd w:val="clear" w:color="auto" w:fill="auto"/>
          </w:tcPr>
          <w:p w:rsidR="002219FE" w:rsidRPr="002219FE" w:rsidRDefault="009E7EAD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Строительство данных собор отражает феодальную раздробленность на Руси и её последствия</w:t>
            </w:r>
          </w:p>
        </w:tc>
      </w:tr>
      <w:tr w:rsidR="002219FE" w:rsidRPr="002219FE" w:rsidTr="002219FE">
        <w:tc>
          <w:tcPr>
            <w:tcW w:w="1276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2219FE" w:rsidRPr="002219FE" w:rsidRDefault="009E7EAD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Владимиро-Суздальское княжество развивалось по своему пути и на то время являлось одним из самых развитых на Руси</w:t>
            </w:r>
          </w:p>
        </w:tc>
      </w:tr>
      <w:tr w:rsidR="002219FE" w:rsidRPr="002219FE" w:rsidTr="002219FE">
        <w:tc>
          <w:tcPr>
            <w:tcW w:w="1276" w:type="dxa"/>
            <w:vMerge w:val="restart"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b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892" w:type="dxa"/>
            <w:shd w:val="clear" w:color="auto" w:fill="auto"/>
          </w:tcPr>
          <w:p w:rsidR="002219FE" w:rsidRPr="002219FE" w:rsidRDefault="009E7EAD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Автор данного послания – Андрей Курбский</w:t>
            </w:r>
          </w:p>
        </w:tc>
      </w:tr>
      <w:tr w:rsidR="002219FE" w:rsidRPr="002219FE" w:rsidTr="002219FE">
        <w:tc>
          <w:tcPr>
            <w:tcW w:w="1276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2219FE" w:rsidRPr="009E7EAD" w:rsidRDefault="009E7EAD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Правитель, которому адресовано – Иван </w:t>
            </w:r>
            <w:r>
              <w:rPr>
                <w:rFonts w:eastAsia="Calibri"/>
                <w:sz w:val="28"/>
                <w:szCs w:val="28"/>
                <w:lang w:val="en-AU" w:eastAsia="en-US"/>
              </w:rPr>
              <w:t>IV</w:t>
            </w:r>
            <w:r w:rsidRPr="009E7EAD"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</w:p>
        </w:tc>
      </w:tr>
      <w:tr w:rsidR="002219FE" w:rsidRPr="002219FE" w:rsidTr="002219FE">
        <w:tc>
          <w:tcPr>
            <w:tcW w:w="1276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892" w:type="dxa"/>
            <w:shd w:val="clear" w:color="auto" w:fill="auto"/>
          </w:tcPr>
          <w:p w:rsidR="002219FE" w:rsidRPr="002219FE" w:rsidRDefault="009E7EAD" w:rsidP="009E7EAD">
            <w:pPr>
              <w:numPr>
                <w:ilvl w:val="0"/>
                <w:numId w:val="6"/>
              </w:num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Иван Грозный стал инициатором появления опричного террора с целью укрепления самодержавной власти</w:t>
            </w:r>
          </w:p>
        </w:tc>
      </w:tr>
      <w:tr w:rsidR="002219FE" w:rsidRPr="002219FE" w:rsidTr="002219FE">
        <w:tc>
          <w:tcPr>
            <w:tcW w:w="1276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2219FE" w:rsidRPr="002219FE" w:rsidRDefault="009E7EAD" w:rsidP="009E7EAD">
            <w:pPr>
              <w:numPr>
                <w:ilvl w:val="0"/>
                <w:numId w:val="6"/>
              </w:num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Андрей Курбский не был согласен с действиями, проводимыми царем в ходе Ливонской войны</w:t>
            </w:r>
          </w:p>
        </w:tc>
      </w:tr>
      <w:tr w:rsidR="002219FE" w:rsidRPr="002219FE" w:rsidTr="002219FE">
        <w:tc>
          <w:tcPr>
            <w:tcW w:w="1276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2219FE" w:rsidRPr="002219FE" w:rsidRDefault="002219FE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2219FE" w:rsidRPr="002219FE" w:rsidRDefault="009E7EAD" w:rsidP="009E7EAD">
            <w:pPr>
              <w:numPr>
                <w:ilvl w:val="0"/>
                <w:numId w:val="6"/>
              </w:num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Иван Грозный видел в числе своих соратников предателей, в связи с чем его доверие к ним снизилось, что разорвало дружественную связь с Андреем Курбским</w:t>
            </w:r>
          </w:p>
        </w:tc>
      </w:tr>
      <w:tr w:rsidR="003B56C9" w:rsidRPr="002219FE" w:rsidTr="009E7EAD">
        <w:trPr>
          <w:trHeight w:val="58"/>
        </w:trPr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892" w:type="dxa"/>
            <w:shd w:val="clear" w:color="auto" w:fill="auto"/>
          </w:tcPr>
          <w:p w:rsidR="003B56C9" w:rsidRPr="003B56C9" w:rsidRDefault="003B56C9" w:rsidP="003B56C9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Негативные стороны правления Ивана Грозного: 1) Опричная политика с целью укрепления самодержавной власти, проявлениями которой были убийства мирных граждан, отравления родственников царя, разбой, насилие</w:t>
            </w:r>
            <w:r w:rsidRPr="003B56C9">
              <w:rPr>
                <w:rFonts w:eastAsia="Calibri"/>
                <w:sz w:val="28"/>
                <w:szCs w:val="28"/>
                <w:lang w:eastAsia="en-US"/>
              </w:rPr>
              <w:t xml:space="preserve">; 2) </w:t>
            </w:r>
            <w:r>
              <w:rPr>
                <w:rFonts w:eastAsia="Calibri"/>
                <w:sz w:val="28"/>
                <w:szCs w:val="28"/>
                <w:lang w:eastAsia="en-US"/>
              </w:rPr>
              <w:t>поражение в Ливонской войне, неправильные действия царя в ходе этой войны.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3B56C9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Положительные: 1) принятие Стоглава, регулирующего поведение священнослужителей, дисциплины;</w:t>
            </w:r>
            <w:r w:rsidRPr="003B56C9">
              <w:rPr>
                <w:rFonts w:eastAsia="Calibri"/>
                <w:sz w:val="28"/>
                <w:szCs w:val="28"/>
                <w:lang w:eastAsia="en-US"/>
              </w:rPr>
              <w:t xml:space="preserve"> 2) </w:t>
            </w:r>
            <w:r>
              <w:rPr>
                <w:rFonts w:eastAsia="Calibri"/>
                <w:sz w:val="28"/>
                <w:szCs w:val="28"/>
                <w:lang w:eastAsia="en-US"/>
              </w:rPr>
              <w:t>создание регулярной армии – стрельцов, что стало важнейшей военной реформой для Руси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3B56C9" w:rsidRPr="002219FE" w:rsidTr="002219FE">
        <w:tc>
          <w:tcPr>
            <w:tcW w:w="1276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b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892" w:type="dxa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Автор документа – Екатерина Вторая, название – Наказ Екатерины Второй Уложенной комиссии.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892" w:type="dxa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Цели: 1)разработка нового свода законов, призванного заменить Соборное Уложение 1649 г.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2)направить депутатов в нужное русло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3B56C9" w:rsidP="003B56C9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3)подчеркнуть свою приверженность к идеям французских просветителей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8892" w:type="dxa"/>
            <w:shd w:val="clear" w:color="auto" w:fill="auto"/>
          </w:tcPr>
          <w:p w:rsidR="003B56C9" w:rsidRPr="002219FE" w:rsidRDefault="007B0606" w:rsidP="007B0606">
            <w:pPr>
              <w:numPr>
                <w:ilvl w:val="0"/>
                <w:numId w:val="8"/>
              </w:num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Указы о порядке выборов в депутаты</w:t>
            </w:r>
            <w:r w:rsidRPr="007B0606">
              <w:rPr>
                <w:rFonts w:eastAsia="Calibri"/>
                <w:sz w:val="28"/>
                <w:szCs w:val="28"/>
                <w:lang w:eastAsia="en-US"/>
              </w:rPr>
              <w:t>;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2) Манифест о создании Уложенной комиссии</w:t>
            </w:r>
            <w:r w:rsidRPr="007B0606">
              <w:rPr>
                <w:rFonts w:eastAsia="Calibri"/>
                <w:sz w:val="28"/>
                <w:szCs w:val="28"/>
                <w:lang w:eastAsia="en-US"/>
              </w:rPr>
              <w:t>; 3)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Наказ Екатерины Второй Уложенной комиссии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7B0606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По моему мнению, самыми важными из них являются Наказ и Манифест о создании Уложенной комиссии.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7B0606" w:rsidRDefault="007B0606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подтверждение своей точки зрения, стоит отметить, что данные законодательные акты положили начало либерализации в России, несмотря на дальнейшее изменение Екатериной внутриполитического курса. Они были созданы с опорой на либеральных идеи таких французский просветителей, как: Дидро, Монтескье, Д</w:t>
            </w:r>
            <w:r w:rsidRPr="007B0606">
              <w:rPr>
                <w:rFonts w:eastAsia="Calibri"/>
                <w:sz w:val="28"/>
                <w:szCs w:val="28"/>
                <w:lang w:eastAsia="en-US"/>
              </w:rPr>
              <w:t>’</w:t>
            </w:r>
            <w:r>
              <w:rPr>
                <w:rFonts w:eastAsia="Calibri"/>
                <w:sz w:val="28"/>
                <w:szCs w:val="28"/>
                <w:lang w:eastAsia="en-US"/>
              </w:rPr>
              <w:t>Аламбер.</w:t>
            </w:r>
          </w:p>
        </w:tc>
      </w:tr>
      <w:tr w:rsidR="003B56C9" w:rsidRPr="002219FE" w:rsidTr="002219FE">
        <w:tc>
          <w:tcPr>
            <w:tcW w:w="1276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b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892" w:type="dxa"/>
            <w:shd w:val="clear" w:color="auto" w:fill="auto"/>
          </w:tcPr>
          <w:p w:rsidR="003B56C9" w:rsidRPr="002219FE" w:rsidRDefault="007B0606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1811 году. Был создан по просьбе сестры Александра Первого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892" w:type="dxa"/>
            <w:shd w:val="clear" w:color="auto" w:fill="auto"/>
          </w:tcPr>
          <w:p w:rsidR="003B56C9" w:rsidRPr="002219FE" w:rsidRDefault="007B0606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Я согласен с данным утверждением, так как: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7B0606" w:rsidP="007B0606">
            <w:pPr>
              <w:numPr>
                <w:ilvl w:val="0"/>
                <w:numId w:val="9"/>
              </w:num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Некоторые национальные окраины, входившие тогда в состав России, имеют отличные от русского историческое наследие, традиции, культуру, менталитет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7B0606" w:rsidP="007B0606">
            <w:pPr>
              <w:numPr>
                <w:ilvl w:val="0"/>
                <w:numId w:val="9"/>
              </w:num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Свои собственные законы могли позволить сохранить суверенитет и самостоятельность национальных окраин</w:t>
            </w:r>
          </w:p>
        </w:tc>
      </w:tr>
      <w:tr w:rsidR="003B56C9" w:rsidRPr="002219FE" w:rsidTr="002219FE">
        <w:tc>
          <w:tcPr>
            <w:tcW w:w="1276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b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b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892" w:type="dxa"/>
            <w:shd w:val="clear" w:color="auto" w:fill="auto"/>
          </w:tcPr>
          <w:p w:rsidR="003B56C9" w:rsidRPr="002219FE" w:rsidRDefault="007B0606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Я согласен с данным утверждением, так как: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7B0606" w:rsidP="007B0606">
            <w:pPr>
              <w:numPr>
                <w:ilvl w:val="0"/>
                <w:numId w:val="10"/>
              </w:num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Реформы Витте были направлены против народа (повышение косвенных налогов, государственная монополизация винного рынка)</w:t>
            </w:r>
            <w:r w:rsidRPr="007B0606">
              <w:rPr>
                <w:rFonts w:eastAsia="Calibri"/>
                <w:sz w:val="28"/>
                <w:szCs w:val="28"/>
                <w:lang w:eastAsia="en-US"/>
              </w:rPr>
              <w:t xml:space="preserve">; 2) </w:t>
            </w:r>
            <w:r>
              <w:rPr>
                <w:rFonts w:eastAsia="Calibri"/>
                <w:sz w:val="28"/>
                <w:szCs w:val="28"/>
                <w:lang w:eastAsia="en-US"/>
              </w:rPr>
              <w:t>Витте не смог изменить структуру сельского хозяйства, что говорит об его безыдейности. Оно осталось полуфеодальном</w:t>
            </w:r>
            <w:r w:rsidRPr="007B0606">
              <w:rPr>
                <w:rFonts w:eastAsia="Calibri"/>
                <w:sz w:val="28"/>
                <w:szCs w:val="28"/>
                <w:lang w:eastAsia="en-US"/>
              </w:rPr>
              <w:t xml:space="preserve">; 3) </w:t>
            </w:r>
            <w:r>
              <w:rPr>
                <w:rFonts w:eastAsia="Calibri"/>
                <w:sz w:val="28"/>
                <w:szCs w:val="28"/>
                <w:lang w:eastAsia="en-US"/>
              </w:rPr>
              <w:t>Введением золотого стандарта Витте обесценил труд рабочих крестьян, ведь сельскохозяйственные продукты потеряли свою цену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892" w:type="dxa"/>
            <w:shd w:val="clear" w:color="auto" w:fill="auto"/>
          </w:tcPr>
          <w:p w:rsidR="003B56C9" w:rsidRPr="002219FE" w:rsidRDefault="00894473" w:rsidP="00894473">
            <w:pPr>
              <w:numPr>
                <w:ilvl w:val="0"/>
                <w:numId w:val="11"/>
              </w:num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Повышение таможенных пошлин. Я считаю, что это способствовало бы отечественному производству, ведь сейчас наблюдается 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вестернизация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 xml:space="preserve"> во всех сферах общественной жизни</w:t>
            </w:r>
            <w:r w:rsidRPr="00894473">
              <w:rPr>
                <w:rFonts w:eastAsia="Calibri"/>
                <w:sz w:val="28"/>
                <w:szCs w:val="28"/>
                <w:lang w:eastAsia="en-US"/>
              </w:rPr>
              <w:t xml:space="preserve">; 2) </w:t>
            </w:r>
            <w:r>
              <w:rPr>
                <w:rFonts w:eastAsia="Calibri"/>
                <w:sz w:val="28"/>
                <w:szCs w:val="28"/>
                <w:lang w:eastAsia="en-US"/>
              </w:rPr>
              <w:t>Реформы Витте обеспечили увеличение ценности национальной валюты. Я считаю, что это одна из главных проблем России, Центральному Банку необходимо принять меры по укреплению стабильности национальной валюты</w:t>
            </w:r>
            <w:r w:rsidRPr="00894473">
              <w:rPr>
                <w:rFonts w:eastAsia="Calibri"/>
                <w:sz w:val="28"/>
                <w:szCs w:val="28"/>
                <w:lang w:eastAsia="en-US"/>
              </w:rPr>
              <w:t xml:space="preserve">; 3) </w:t>
            </w:r>
            <w:r>
              <w:rPr>
                <w:rFonts w:eastAsia="Calibri"/>
                <w:sz w:val="28"/>
                <w:szCs w:val="28"/>
                <w:lang w:eastAsia="en-US"/>
              </w:rPr>
              <w:t>Витте способствовал появлению в России новых отраслей производства. Я считаю, что России необходимо улучшение и расширение производства, ведь все необходимые ресурсы присутствуют.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3B56C9" w:rsidRPr="002219FE" w:rsidTr="002219FE">
        <w:tc>
          <w:tcPr>
            <w:tcW w:w="1276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567" w:type="dxa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892" w:type="dxa"/>
            <w:shd w:val="clear" w:color="auto" w:fill="auto"/>
          </w:tcPr>
          <w:p w:rsidR="003B56C9" w:rsidRPr="002219FE" w:rsidRDefault="00894473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Герберт 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Уэлльс</w:t>
            </w:r>
            <w:proofErr w:type="spellEnd"/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892" w:type="dxa"/>
            <w:shd w:val="clear" w:color="auto" w:fill="auto"/>
          </w:tcPr>
          <w:p w:rsidR="003B56C9" w:rsidRPr="002219FE" w:rsidRDefault="00894473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Он имел ввиду Конституцию 1936, являющуюся на то время самой демократичной. Однако с учетом культа Сталина и его собственного желания укрепить самодержавную власть реализация конституционных </w:t>
            </w:r>
            <w:r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догм была невозможна. Права и </w:t>
            </w:r>
            <w:r w:rsidR="005004E3">
              <w:rPr>
                <w:rFonts w:eastAsia="Calibri"/>
                <w:sz w:val="28"/>
                <w:szCs w:val="28"/>
                <w:lang w:eastAsia="en-US"/>
              </w:rPr>
              <w:t>свободы граждан провозглашались, но не соблюдались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3B56C9" w:rsidRPr="002219FE" w:rsidTr="002219FE">
        <w:tc>
          <w:tcPr>
            <w:tcW w:w="1276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8892" w:type="dxa"/>
            <w:shd w:val="clear" w:color="auto" w:fill="auto"/>
          </w:tcPr>
          <w:p w:rsidR="003B56C9" w:rsidRPr="002219FE" w:rsidRDefault="005004E3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 – Исаакиевский собор (открыт в 1858 году), 2 – Министерство Иностранных Дел (возведено в 1953 году)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 w:val="restart"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 w:rsidRPr="002219F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892" w:type="dxa"/>
            <w:shd w:val="clear" w:color="auto" w:fill="auto"/>
          </w:tcPr>
          <w:p w:rsidR="003B56C9" w:rsidRPr="002219FE" w:rsidRDefault="005004E3" w:rsidP="005004E3">
            <w:pPr>
              <w:numPr>
                <w:ilvl w:val="0"/>
                <w:numId w:val="12"/>
              </w:num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Архитектурный облик обоих памятников архитектуры возводит к английской готике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5004E3" w:rsidP="005004E3">
            <w:pPr>
              <w:numPr>
                <w:ilvl w:val="0"/>
                <w:numId w:val="12"/>
              </w:num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Оба памятника являются объектами культурного наследия народов РФ</w:t>
            </w:r>
          </w:p>
        </w:tc>
      </w:tr>
      <w:tr w:rsidR="003B56C9" w:rsidRPr="002219FE" w:rsidTr="002219FE">
        <w:tc>
          <w:tcPr>
            <w:tcW w:w="1276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3B56C9" w:rsidRPr="002219FE" w:rsidRDefault="003B56C9" w:rsidP="002219FE">
            <w:p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8892" w:type="dxa"/>
            <w:shd w:val="clear" w:color="auto" w:fill="auto"/>
          </w:tcPr>
          <w:p w:rsidR="003B56C9" w:rsidRPr="002219FE" w:rsidRDefault="005004E3" w:rsidP="005004E3">
            <w:pPr>
              <w:numPr>
                <w:ilvl w:val="0"/>
                <w:numId w:val="12"/>
              </w:numPr>
              <w:suppressAutoHyphens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В обоих памятниках особую роль отводят мрамору: так в Исаакиевском соборе колонны выполнены из мрамора, а вестибюль здания МИД России облицован мрамором.</w:t>
            </w:r>
            <w:bookmarkStart w:id="0" w:name="_GoBack"/>
            <w:bookmarkEnd w:id="0"/>
          </w:p>
        </w:tc>
      </w:tr>
    </w:tbl>
    <w:p w:rsidR="00074BBF" w:rsidRDefault="00894473" w:rsidP="00253FC9">
      <w:pPr>
        <w:suppressAutoHyphens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.</w:t>
      </w:r>
    </w:p>
    <w:p w:rsidR="00253FC9" w:rsidRPr="00253FC9" w:rsidRDefault="00253FC9" w:rsidP="00253FC9">
      <w:pPr>
        <w:suppressAutoHyphens w:val="0"/>
        <w:rPr>
          <w:rFonts w:eastAsia="Calibri"/>
          <w:lang w:eastAsia="en-US"/>
        </w:rPr>
      </w:pPr>
    </w:p>
    <w:sectPr w:rsidR="00253FC9" w:rsidRPr="00253FC9" w:rsidSect="009C71BC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61964"/>
    <w:multiLevelType w:val="hybridMultilevel"/>
    <w:tmpl w:val="3280DDCE"/>
    <w:lvl w:ilvl="0" w:tplc="FF74CD0A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DA2278"/>
    <w:multiLevelType w:val="multilevel"/>
    <w:tmpl w:val="079A14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27B206A5"/>
    <w:multiLevelType w:val="hybridMultilevel"/>
    <w:tmpl w:val="D1DCA3E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535852"/>
    <w:multiLevelType w:val="singleLevel"/>
    <w:tmpl w:val="211471E8"/>
    <w:lvl w:ilvl="0">
      <w:start w:val="1"/>
      <w:numFmt w:val="decimal"/>
      <w:lvlText w:val="%1."/>
      <w:legacy w:legacy="1" w:legacySpace="0" w:legacyIndent="254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3CDB6F9A"/>
    <w:multiLevelType w:val="hybridMultilevel"/>
    <w:tmpl w:val="02E096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5B3FBC"/>
    <w:multiLevelType w:val="hybridMultilevel"/>
    <w:tmpl w:val="7EEA526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9D5B12"/>
    <w:multiLevelType w:val="hybridMultilevel"/>
    <w:tmpl w:val="C81C78E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8D3810"/>
    <w:multiLevelType w:val="hybridMultilevel"/>
    <w:tmpl w:val="B35EB12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C53B01"/>
    <w:multiLevelType w:val="hybridMultilevel"/>
    <w:tmpl w:val="D35632FA"/>
    <w:lvl w:ilvl="0" w:tplc="51B6241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206261A"/>
    <w:multiLevelType w:val="hybridMultilevel"/>
    <w:tmpl w:val="AAFE4B6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3A43AF"/>
    <w:multiLevelType w:val="hybridMultilevel"/>
    <w:tmpl w:val="BDB661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CD2D00"/>
    <w:multiLevelType w:val="hybridMultilevel"/>
    <w:tmpl w:val="C42C6CE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7"/>
  </w:num>
  <w:num w:numId="7">
    <w:abstractNumId w:val="10"/>
  </w:num>
  <w:num w:numId="8">
    <w:abstractNumId w:val="6"/>
  </w:num>
  <w:num w:numId="9">
    <w:abstractNumId w:val="5"/>
  </w:num>
  <w:num w:numId="10">
    <w:abstractNumId w:val="9"/>
  </w:num>
  <w:num w:numId="11">
    <w:abstractNumId w:val="4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3821"/>
    <w:rsid w:val="00074BBF"/>
    <w:rsid w:val="00117E2F"/>
    <w:rsid w:val="001B6FDF"/>
    <w:rsid w:val="002219FE"/>
    <w:rsid w:val="00253FC9"/>
    <w:rsid w:val="002913EB"/>
    <w:rsid w:val="002A20EF"/>
    <w:rsid w:val="003B56C9"/>
    <w:rsid w:val="004115EB"/>
    <w:rsid w:val="00450834"/>
    <w:rsid w:val="00486832"/>
    <w:rsid w:val="005004E3"/>
    <w:rsid w:val="00570430"/>
    <w:rsid w:val="006D085A"/>
    <w:rsid w:val="00737F21"/>
    <w:rsid w:val="007B0606"/>
    <w:rsid w:val="00803821"/>
    <w:rsid w:val="00872D69"/>
    <w:rsid w:val="00894473"/>
    <w:rsid w:val="008B11FD"/>
    <w:rsid w:val="00972B38"/>
    <w:rsid w:val="009C71BC"/>
    <w:rsid w:val="009E7EAD"/>
    <w:rsid w:val="00A125B5"/>
    <w:rsid w:val="00A55A55"/>
    <w:rsid w:val="00AC2B9B"/>
    <w:rsid w:val="00B471D7"/>
    <w:rsid w:val="00BA4106"/>
    <w:rsid w:val="00BA6247"/>
    <w:rsid w:val="00CD3E28"/>
    <w:rsid w:val="00DA1F02"/>
    <w:rsid w:val="00DB6A9D"/>
    <w:rsid w:val="00E56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10B2A9"/>
  <w15:chartTrackingRefBased/>
  <w15:docId w15:val="{66EA057A-A08D-4029-86AE-6A3874E82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11FD"/>
    <w:pPr>
      <w:suppressAutoHyphens/>
    </w:pPr>
    <w:rPr>
      <w:rFonts w:ascii="Times New Roman" w:eastAsia="Times New Roman" w:hAnsi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115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55A55"/>
    <w:pPr>
      <w:ind w:left="720"/>
      <w:contextualSpacing/>
    </w:pPr>
  </w:style>
  <w:style w:type="character" w:styleId="a5">
    <w:name w:val="Subtle Emphasis"/>
    <w:basedOn w:val="a0"/>
    <w:uiPriority w:val="19"/>
    <w:qFormat/>
    <w:rsid w:val="00CD3E28"/>
  </w:style>
  <w:style w:type="character" w:styleId="a6">
    <w:name w:val="Hyperlink"/>
    <w:uiPriority w:val="99"/>
    <w:unhideWhenUsed/>
    <w:rsid w:val="0057043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447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717</Words>
  <Characters>4088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</dc:creator>
  <cp:keywords/>
  <cp:lastModifiedBy>Nikita</cp:lastModifiedBy>
  <cp:revision>2</cp:revision>
  <dcterms:created xsi:type="dcterms:W3CDTF">2022-02-24T12:32:00Z</dcterms:created>
  <dcterms:modified xsi:type="dcterms:W3CDTF">2022-02-24T12:32:00Z</dcterms:modified>
</cp:coreProperties>
</file>