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gramStart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выделять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..</w:t>
      </w:r>
      <w:proofErr w:type="gramEnd"/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Волейбол.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Греко-римская борьба.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Фигурное катание.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Николай Васильевич </w:t>
            </w:r>
            <w:proofErr w:type="spell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Карполь</w:t>
            </w:r>
            <w:proofErr w:type="spell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. Метрическая система мер для бега впервые введена на Олимпийских играх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Афинах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Париже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Лондоне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18. Индивидуальное развитие организма обозначается как …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Оптимальный пульсовой режим при занятии ритмической гимнастикой составляет… 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411"/>
      </w:tblGrid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Скрестный</w:t>
            </w:r>
            <w:proofErr w:type="spellEnd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 шаг.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Pr="00D102BB" w:rsidRDefault="002B6142" w:rsidP="002B6142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</w:t>
      </w:r>
      <w:proofErr w:type="spellStart"/>
      <w:r w:rsidRPr="00876C2D">
        <w:rPr>
          <w:rFonts w:ascii="Times New Roman" w:hAnsi="Times New Roman"/>
          <w:sz w:val="26"/>
          <w:szCs w:val="26"/>
        </w:rPr>
        <w:t>Борзаковский</w:t>
      </w:r>
      <w:proofErr w:type="spellEnd"/>
      <w:r w:rsidRPr="00876C2D">
        <w:rPr>
          <w:rFonts w:ascii="Times New Roman" w:hAnsi="Times New Roman"/>
          <w:sz w:val="26"/>
          <w:szCs w:val="26"/>
        </w:rPr>
        <w:t xml:space="preserve">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</w:t>
      </w:r>
      <w:proofErr w:type="gramStart"/>
      <w:r w:rsidRPr="00876C2D">
        <w:rPr>
          <w:rFonts w:ascii="Times New Roman" w:hAnsi="Times New Roman"/>
          <w:sz w:val="26"/>
          <w:szCs w:val="26"/>
        </w:rPr>
        <w:t>в</w:t>
      </w:r>
      <w:proofErr w:type="gramEnd"/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6B475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615950</wp:posOffset>
                </wp:positionV>
                <wp:extent cx="2054225" cy="12065"/>
                <wp:effectExtent l="0" t="0" r="2222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42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1"/>
        <w:gridCol w:w="946"/>
        <w:gridCol w:w="1214"/>
      </w:tblGrid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Николай Панин-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Коломенкин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Замотин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</w:t>
            </w:r>
            <w:r w:rsid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должительными в истории стали 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D314A9" w:rsidRP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D314A9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Корэб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1980 году  в Лэйк-</w:t>
            </w:r>
            <w:proofErr w:type="spellStart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Плейсиде</w:t>
            </w:r>
            <w:proofErr w:type="spellEnd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A35687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A35687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Палама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C642CB" w:rsidRPr="00A74098" w:rsidRDefault="006B475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C03285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C642CB" w:rsidRPr="00A74098" w:rsidRDefault="001E25B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D314A9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C03285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Мелеузовский район, МОБУ СОШ с.Нордовка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Калугина Ирина Александровна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 класс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Утарбаев Азамат Гумаргалеевич</w:t>
            </w: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9A5DE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6C620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9A5DE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б,в,г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B77662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6C620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CB651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CB651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1-г, 2-б, 3-в, 4-а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3,2,4,1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 мяча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тренировки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A655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большой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беге на 800 метров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D314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EC62E4" w:rsidRPr="003754ED" w:rsidTr="00D314A9">
        <w:tc>
          <w:tcPr>
            <w:tcW w:w="5386" w:type="dxa"/>
          </w:tcPr>
          <w:p w:rsidR="00EC62E4" w:rsidRPr="0047414D" w:rsidRDefault="0047414D" w:rsidP="00474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7414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в 1952 году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Pr="00EA655E" w:rsidRDefault="00EA655E" w:rsidP="00EA6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2.соскок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545873" w:rsidRDefault="00545873" w:rsidP="00545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</w:t>
            </w:r>
            <w:r w:rsidRPr="00545873">
              <w:rPr>
                <w:rFonts w:ascii="Times New Roman" w:hAnsi="Times New Roman"/>
                <w:sz w:val="24"/>
                <w:szCs w:val="24"/>
              </w:rPr>
              <w:t xml:space="preserve"> 1964 году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  <w:r w:rsidR="006C620E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  <w:r w:rsidR="0047414D">
              <w:rPr>
                <w:rFonts w:ascii="Times New Roman" w:hAnsi="Times New Roman"/>
                <w:sz w:val="24"/>
                <w:szCs w:val="24"/>
              </w:rPr>
              <w:t xml:space="preserve"> восстановление 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545873" w:rsidRDefault="00545873" w:rsidP="00545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10.выносливость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жизненная емкость легких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D102BB">
              <w:rPr>
                <w:rFonts w:ascii="Times New Roman" w:hAnsi="Times New Roman"/>
                <w:sz w:val="24"/>
                <w:szCs w:val="24"/>
              </w:rPr>
              <w:t xml:space="preserve"> бег 100 метров, бег на 2 или 3 километра, подтягивание или отжимание, наклон вперед </w:t>
            </w:r>
            <w:r w:rsidR="006C620E">
              <w:rPr>
                <w:rFonts w:ascii="Times New Roman" w:hAnsi="Times New Roman"/>
                <w:sz w:val="24"/>
                <w:szCs w:val="24"/>
              </w:rPr>
              <w:t xml:space="preserve">из положения стоя 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на гимнастической скамье.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  <w:r w:rsidR="00EA655E">
              <w:rPr>
                <w:rFonts w:ascii="Times New Roman" w:hAnsi="Times New Roman"/>
                <w:sz w:val="24"/>
                <w:szCs w:val="24"/>
              </w:rPr>
              <w:t>амортизация движений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6.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45A5"/>
    <w:multiLevelType w:val="hybridMultilevel"/>
    <w:tmpl w:val="FB76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9B"/>
    <w:rsid w:val="001437DD"/>
    <w:rsid w:val="001C6209"/>
    <w:rsid w:val="001C732F"/>
    <w:rsid w:val="001E25BB"/>
    <w:rsid w:val="0020169B"/>
    <w:rsid w:val="002B6142"/>
    <w:rsid w:val="003A51E9"/>
    <w:rsid w:val="00472476"/>
    <w:rsid w:val="0047414D"/>
    <w:rsid w:val="004C2F25"/>
    <w:rsid w:val="00545873"/>
    <w:rsid w:val="00551C8D"/>
    <w:rsid w:val="005969D4"/>
    <w:rsid w:val="006B475B"/>
    <w:rsid w:val="006C620E"/>
    <w:rsid w:val="00757B66"/>
    <w:rsid w:val="00814B19"/>
    <w:rsid w:val="00952F6C"/>
    <w:rsid w:val="009A5DE9"/>
    <w:rsid w:val="00A35687"/>
    <w:rsid w:val="00AB1DA8"/>
    <w:rsid w:val="00B02EFB"/>
    <w:rsid w:val="00B77662"/>
    <w:rsid w:val="00BB01D7"/>
    <w:rsid w:val="00C03285"/>
    <w:rsid w:val="00C642CB"/>
    <w:rsid w:val="00CB6514"/>
    <w:rsid w:val="00D102BB"/>
    <w:rsid w:val="00D314A9"/>
    <w:rsid w:val="00D81CDF"/>
    <w:rsid w:val="00EA655E"/>
    <w:rsid w:val="00EC62E4"/>
    <w:rsid w:val="00F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4</cp:revision>
  <dcterms:created xsi:type="dcterms:W3CDTF">2020-03-25T12:45:00Z</dcterms:created>
  <dcterms:modified xsi:type="dcterms:W3CDTF">2020-03-25T17:53:00Z</dcterms:modified>
</cp:coreProperties>
</file>